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620AE7D4" w14:textId="3065C395" w:rsidR="007A03F9" w:rsidRPr="009A727F" w:rsidRDefault="009A727F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noProof/>
                    </w:rPr>
                    <w:t>SPAG –</w:t>
                  </w:r>
                  <w:r w:rsidR="007A03F9">
                    <w:rPr>
                      <w:rFonts w:asciiTheme="majorHAnsi" w:hAnsiTheme="majorHAnsi" w:cstheme="majorHAnsi"/>
                      <w:noProof/>
                    </w:rPr>
                    <w:t xml:space="preserve"> Relative clauses</w:t>
                  </w:r>
                  <w:r w:rsidR="00856276">
                    <w:rPr>
                      <w:rFonts w:asciiTheme="majorHAnsi" w:hAnsiTheme="majorHAnsi" w:cstheme="majorHAnsi"/>
                      <w:noProof/>
                    </w:rPr>
                    <w:t xml:space="preserve"> and pronouns</w:t>
                  </w:r>
                </w:p>
                <w:p w14:paraId="5286F5E1" w14:textId="0AF9C40E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E939FEB" w14:textId="3D993401" w:rsidR="009A727F" w:rsidRPr="009A727F" w:rsidRDefault="007A03F9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Intro into non-chronological reports – identifying features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06AB26B" w14:textId="105F6311" w:rsidR="009A727F" w:rsidRPr="009A727F" w:rsidRDefault="007A03F9" w:rsidP="001E33C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Research microorganisms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4BF8B55A" w:rsidR="009A727F" w:rsidRPr="009A727F" w:rsidRDefault="007A03F9" w:rsidP="009A727F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Resreach continued – begin writing.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2C0A4FE" w:rsidR="009A727F" w:rsidRPr="009A727F" w:rsidRDefault="007A03F9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396CECE5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the purpose of non-chronological reports.</w:t>
            </w:r>
          </w:p>
          <w:p w14:paraId="632A74D3" w14:textId="625FCC0F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how to use relative clauses in writing.</w:t>
            </w:r>
          </w:p>
          <w:p w14:paraId="15E5E4F5" w14:textId="1AC53A30" w:rsidR="00667303" w:rsidRPr="00676940" w:rsidRDefault="00667303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>research a topic.</w:t>
            </w:r>
          </w:p>
          <w:p w14:paraId="6ED0AF5F" w14:textId="55230223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>: To write a non-chronological report on microorganisms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5FEF4E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his unit of writing will be developed over two weeks. </w:t>
            </w:r>
          </w:p>
          <w:p w14:paraId="153D757D" w14:textId="0A992A10" w:rsidR="001D3175" w:rsidRPr="00676940" w:rsidRDefault="001D3175" w:rsidP="007A03F9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7A03F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Friday 8th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6730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October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24361B3F" w:rsidR="00EC6885" w:rsidRPr="00676940" w:rsidRDefault="0042611F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One</w:t>
            </w:r>
            <w:r w:rsidR="00D672C6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  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>Work can all be found on the PowerPoint</w:t>
            </w:r>
          </w:p>
          <w:p w14:paraId="20A8875E" w14:textId="0AE4D078" w:rsidR="001810EC" w:rsidRDefault="0042611F" w:rsidP="001810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1810EC"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="007A03F9">
              <w:rPr>
                <w:rFonts w:asciiTheme="majorHAnsi" w:hAnsiTheme="majorHAnsi" w:cstheme="majorHAnsi"/>
                <w:b/>
                <w:sz w:val="20"/>
                <w:szCs w:val="20"/>
              </w:rPr>
              <w:t>Relative clauses</w:t>
            </w:r>
            <w:r w:rsidR="008562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relative pronouns</w:t>
            </w:r>
          </w:p>
          <w:p w14:paraId="1A3D4B94" w14:textId="77777777" w:rsidR="007B7434" w:rsidRPr="00676940" w:rsidRDefault="007B7434" w:rsidP="001810E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</w:p>
          <w:p w14:paraId="7E274459" w14:textId="77777777" w:rsidR="001810EC" w:rsidRPr="00676940" w:rsidRDefault="0042611F" w:rsidP="001810EC">
            <w:pPr>
              <w:pStyle w:val="NoSpacing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Part 1 </w:t>
            </w:r>
          </w:p>
          <w:p w14:paraId="1FCD3099" w14:textId="40502B90" w:rsidR="005B61B2" w:rsidRPr="00676940" w:rsidRDefault="005B61B2" w:rsidP="00856276">
            <w:pPr>
              <w:pStyle w:val="NoSpacing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Revision skills from last week. </w:t>
            </w:r>
            <w:r w:rsidR="005007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Can you give me an example of a</w:t>
            </w:r>
            <w:r w:rsidR="0085627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dverbial of time</w:t>
            </w:r>
            <w:r w:rsidR="005007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? </w:t>
            </w:r>
            <w:r w:rsidR="0085627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How do you use one in your writing?</w:t>
            </w:r>
          </w:p>
          <w:p w14:paraId="46E1B084" w14:textId="77777777" w:rsidR="0050076F" w:rsidRDefault="0050076F" w:rsidP="0025303D">
            <w:pPr>
              <w:pStyle w:val="NoSpacing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15694816" w14:textId="2ED88A43" w:rsidR="0025303D" w:rsidRDefault="0042611F" w:rsidP="0025303D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Part 2- </w:t>
            </w:r>
            <w:r w:rsidR="0050076F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Introducing </w:t>
            </w:r>
            <w:r w:rsidR="00856276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relative clauses.</w:t>
            </w:r>
          </w:p>
          <w:p w14:paraId="4CCD52F0" w14:textId="305D5E4C" w:rsidR="009A727F" w:rsidRDefault="00856276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>Spot the clauses – main, subordinate and relative pronoun.</w:t>
            </w:r>
          </w:p>
          <w:p w14:paraId="08F766E6" w14:textId="241AEC1F" w:rsidR="00856276" w:rsidRDefault="00856276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>What are relative pronouns? Who, which, that, whom, whose, where</w:t>
            </w:r>
          </w:p>
          <w:p w14:paraId="37E117D0" w14:textId="6D5BAF52" w:rsidR="00930038" w:rsidRPr="00930038" w:rsidRDefault="00930038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 xml:space="preserve">What is a relative clause? </w:t>
            </w:r>
            <w:r w:rsidRPr="00930038"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>Relative clauses give extra information related to a previously mentioned noun or pronoun within a sentence. A relative clause always starts with a relative pronoun.</w:t>
            </w:r>
          </w:p>
          <w:p w14:paraId="72C5686C" w14:textId="4CDC9642" w:rsidR="00856276" w:rsidRDefault="00856276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>Look through the examples of embedded relative clauses.</w:t>
            </w:r>
          </w:p>
          <w:p w14:paraId="457D4110" w14:textId="549F0C61" w:rsidR="00856276" w:rsidRPr="009A727F" w:rsidRDefault="00856276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8064A2" w:themeColor="accent4"/>
                <w:sz w:val="20"/>
                <w:szCs w:val="20"/>
              </w:rPr>
              <w:t>What punctuation is used? Usually we use commas but we can also use dashes and brackets.</w:t>
            </w:r>
          </w:p>
          <w:p w14:paraId="29E00DDC" w14:textId="77777777" w:rsidR="00930E9B" w:rsidRPr="00676940" w:rsidRDefault="00930E9B" w:rsidP="0025303D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</w:p>
          <w:p w14:paraId="6D1BBE71" w14:textId="38FF82E0" w:rsidR="0042611F" w:rsidRDefault="0042611F" w:rsidP="0042611F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3 – </w:t>
            </w:r>
            <w:r w:rsidR="00930E9B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Activity – </w:t>
            </w:r>
            <w:r w:rsidR="00930038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List the relative pronouns in books and then write sentences with examples of relative clauses in your books</w:t>
            </w:r>
          </w:p>
          <w:p w14:paraId="426CCE23" w14:textId="77777777" w:rsidR="00930E9B" w:rsidRPr="00676940" w:rsidRDefault="00930E9B" w:rsidP="0042611F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</w:p>
          <w:p w14:paraId="75F3FB32" w14:textId="21944856" w:rsidR="00930E9B" w:rsidRPr="00930E9B" w:rsidRDefault="00930E9B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Extension – Write a short </w:t>
            </w:r>
            <w:r w:rsidR="0093003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paragraph using relative clauses to describe their MAD Friday last week.</w:t>
            </w: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7DB86F2A" w:rsidR="003B7F3A" w:rsidRPr="00676940" w:rsidRDefault="003B7F3A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Two</w:t>
            </w:r>
          </w:p>
          <w:p w14:paraId="1A3D84A8" w14:textId="2BE55D13" w:rsidR="003B7F3A" w:rsidRPr="00676940" w:rsidRDefault="003B7F3A" w:rsidP="003B7F3A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4248A5"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:</w:t>
            </w:r>
            <w:r w:rsidR="0021537E"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1. </w:t>
            </w:r>
            <w:r w:rsidR="0050076F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Understanding the use </w:t>
            </w:r>
            <w:r w:rsidR="00930038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non-chronological reports.</w:t>
            </w:r>
          </w:p>
          <w:p w14:paraId="77F8D8C5" w14:textId="7E490ADB" w:rsidR="00444FFB" w:rsidRDefault="003B7F3A" w:rsidP="00444FFB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1  </w:t>
            </w:r>
          </w:p>
          <w:p w14:paraId="53327E1A" w14:textId="1BDA5A74" w:rsidR="00930038" w:rsidRDefault="00930038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 w:rsidRPr="0093003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non-chronological report?</w:t>
            </w:r>
            <w:r w:rsidR="007606D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 Why do we read them?</w:t>
            </w:r>
          </w:p>
          <w:p w14:paraId="1172704C" w14:textId="044F23C5" w:rsidR="00523241" w:rsidRDefault="00523241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What are the features of a non-chronological report? Title, subheadings, facts, </w:t>
            </w:r>
            <w:r w:rsidR="007606D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rhetorical questions, formal tone, images, third person.</w:t>
            </w:r>
          </w:p>
          <w:p w14:paraId="0206DE21" w14:textId="4D18616F" w:rsidR="00523241" w:rsidRDefault="00523241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Why is it important to plan our writing before we write?</w:t>
            </w:r>
            <w:r w:rsidR="007606D8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 To make sure it makes sense. To help us structure it before we start writing. To make sure we have enough information.</w:t>
            </w:r>
          </w:p>
          <w:p w14:paraId="250DA56F" w14:textId="65019A9A" w:rsidR="00523241" w:rsidRPr="00930038" w:rsidRDefault="00523241" w:rsidP="00930038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Let’s look at using a </w:t>
            </w:r>
            <w:proofErr w:type="spellStart"/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spidergram</w:t>
            </w:r>
            <w:proofErr w:type="spellEnd"/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 xml:space="preserve"> to help us plan our own report on microorganisms.</w:t>
            </w:r>
          </w:p>
          <w:p w14:paraId="7CD99E86" w14:textId="0994F7EA" w:rsidR="003B7F3A" w:rsidRDefault="003B7F3A" w:rsidP="003B7F3A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Part 2</w:t>
            </w:r>
          </w:p>
          <w:p w14:paraId="32F78A0D" w14:textId="159A536D" w:rsidR="00523241" w:rsidRPr="00523241" w:rsidRDefault="00523241" w:rsidP="00523241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52324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Look at the planning sheet – if in school, stick into books.</w:t>
            </w:r>
          </w:p>
          <w:p w14:paraId="5C7F3698" w14:textId="74C90987" w:rsidR="00523241" w:rsidRDefault="00523241" w:rsidP="00523241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523241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Write down relevant </w:t>
            </w: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subheadings</w:t>
            </w:r>
            <w:r w:rsidR="007606D8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that you want to use for your report – examples on pp.</w:t>
            </w:r>
          </w:p>
          <w:p w14:paraId="6F30A7D6" w14:textId="0DD5461E" w:rsidR="007606D8" w:rsidRPr="00523241" w:rsidRDefault="007606D8" w:rsidP="00523241">
            <w:pPr>
              <w:pStyle w:val="NoSpacing"/>
              <w:numPr>
                <w:ilvl w:val="0"/>
                <w:numId w:val="19"/>
              </w:numP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>Read through the microorganisms PP to gather information – write down facts, key words and information in note form under each subheading.</w:t>
            </w:r>
          </w:p>
          <w:p w14:paraId="15312086" w14:textId="1AC52EDB" w:rsidR="00A83E5A" w:rsidRDefault="001A424C" w:rsidP="00A83E5A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Part 3</w:t>
            </w:r>
          </w:p>
          <w:p w14:paraId="19A35855" w14:textId="51FE8BC0" w:rsidR="001A424C" w:rsidRDefault="001A424C" w:rsidP="001A424C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Check through plans to make sure that each box has key words and technical vocabulary. Does each subheading have enough information? </w:t>
            </w:r>
          </w:p>
          <w:p w14:paraId="62EBE965" w14:textId="1CBCC470" w:rsidR="00321324" w:rsidRPr="00676940" w:rsidRDefault="00321324" w:rsidP="00321324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</w:t>
            </w:r>
          </w:p>
          <w:p w14:paraId="0695F70E" w14:textId="4988AFCF" w:rsidR="00D75D6C" w:rsidRPr="00676940" w:rsidRDefault="00D75D6C" w:rsidP="00D75D6C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 Three</w:t>
            </w:r>
            <w:r w:rsidR="001A424C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and Four</w:t>
            </w:r>
          </w:p>
          <w:p w14:paraId="59EAE9FF" w14:textId="3ABE1D73" w:rsidR="00D75D6C" w:rsidRPr="00676940" w:rsidRDefault="00D75D6C" w:rsidP="00D75D6C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1A424C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: developing research skills through use of online resources</w:t>
            </w:r>
            <w:r w:rsidR="00496543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</w:t>
            </w:r>
          </w:p>
          <w:p w14:paraId="0FEAFEBC" w14:textId="56BFCFB3" w:rsidR="00D75D6C" w:rsidRDefault="00D75D6C" w:rsidP="00D75D6C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1 </w:t>
            </w:r>
          </w:p>
          <w:p w14:paraId="3E1AABAF" w14:textId="4C51F831" w:rsidR="00CB5D44" w:rsidRPr="001A424C" w:rsidRDefault="001A424C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report? Why do we read them?</w:t>
            </w:r>
          </w:p>
          <w:p w14:paraId="7FAB41B2" w14:textId="2C421CB9" w:rsidR="001A424C" w:rsidRPr="001A424C" w:rsidRDefault="001A424C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subheadings did you choose to use for your reports?</w:t>
            </w:r>
          </w:p>
          <w:p w14:paraId="7F54B8C0" w14:textId="28BA1E31" w:rsidR="001A424C" w:rsidRPr="00CB5D44" w:rsidRDefault="001A424C" w:rsidP="00CB5D44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Share some information with the class.</w:t>
            </w:r>
          </w:p>
          <w:p w14:paraId="2FC120B1" w14:textId="1849B788" w:rsidR="00D62AE9" w:rsidRPr="00676940" w:rsidRDefault="00D75D6C" w:rsidP="00D62AE9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Part 2</w:t>
            </w:r>
          </w:p>
          <w:p w14:paraId="6C781296" w14:textId="48FEE872" w:rsidR="00CB5D44" w:rsidRPr="001A424C" w:rsidRDefault="001A424C" w:rsidP="004E732C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to be given use of laptops or iPads to research into microorganisms.</w:t>
            </w:r>
          </w:p>
          <w:p w14:paraId="58700294" w14:textId="7C0D4632" w:rsidR="001A424C" w:rsidRPr="00DC5CEF" w:rsidRDefault="001A424C" w:rsidP="001A424C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Go over safety when using the internet – using key words such as KS2 and kids when searching.</w:t>
            </w:r>
          </w:p>
          <w:p w14:paraId="244AF270" w14:textId="2F1D2A52" w:rsidR="00DC5CEF" w:rsidRPr="001A424C" w:rsidRDefault="00DC5CEF" w:rsidP="001A424C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If they run out of space on the worksheets, </w:t>
            </w: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to write a subheading in their books and underneath it, add extra information they find.</w:t>
            </w:r>
          </w:p>
          <w:p w14:paraId="648E0655" w14:textId="7A43D1D7" w:rsidR="009027FC" w:rsidRPr="00160724" w:rsidRDefault="009027FC" w:rsidP="00D62AE9">
            <w:pPr>
              <w:pStyle w:val="NoSpacing"/>
              <w:rPr>
                <w:rFonts w:asciiTheme="majorHAnsi" w:hAnsiTheme="majorHAnsi" w:cstheme="majorHAnsi"/>
                <w:color w:val="00B050"/>
                <w:sz w:val="6"/>
                <w:szCs w:val="6"/>
              </w:rPr>
            </w:pPr>
          </w:p>
          <w:p w14:paraId="008CCDFF" w14:textId="3A27534A" w:rsidR="00496543" w:rsidRDefault="00D75D6C" w:rsidP="00CB5D44">
            <w:pPr>
              <w:pStyle w:val="NoSpacing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3 – </w:t>
            </w:r>
            <w:r w:rsidR="001A424C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Plenary - </w:t>
            </w:r>
            <w:proofErr w:type="spellStart"/>
            <w:r w:rsidR="00496543" w:rsidRPr="001A424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Chn</w:t>
            </w:r>
            <w:proofErr w:type="spellEnd"/>
            <w:r w:rsidR="00496543" w:rsidRPr="001A424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to </w:t>
            </w:r>
            <w:r w:rsidR="001A424C" w:rsidRPr="001A424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share information they have gathered with the class – key facts.</w:t>
            </w:r>
          </w:p>
          <w:p w14:paraId="2845E3FB" w14:textId="0D99FABE" w:rsidR="00D203D5" w:rsidRPr="00A80F9E" w:rsidRDefault="00524735" w:rsidP="00A80F9E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52473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If children are happy with their research, they may begin wr</w:t>
            </w:r>
            <w:r w:rsidR="00A80F9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iting their reports,</w:t>
            </w:r>
            <w:bookmarkStart w:id="0" w:name="_GoBack"/>
            <w:bookmarkEnd w:id="0"/>
            <w:r w:rsidRPr="0052473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referring back to their plan to support them in structuring their work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3AD" w14:textId="77777777" w:rsidR="00F0296A" w:rsidRDefault="00F0296A">
            <w:pPr>
              <w:spacing w:after="0" w:line="240" w:lineRule="auto"/>
            </w:pPr>
          </w:p>
          <w:p w14:paraId="77224080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87A39A" wp14:editId="50AEED30">
                  <wp:extent cx="1924050" cy="111633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33" cy="123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1524CB" w:rsidRDefault="001524CB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1524CB" w:rsidRDefault="0015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1524CB" w:rsidRDefault="001524CB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1524CB" w:rsidRDefault="0015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1FD6"/>
    <w:multiLevelType w:val="hybridMultilevel"/>
    <w:tmpl w:val="F4E8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8"/>
  </w:num>
  <w:num w:numId="6">
    <w:abstractNumId w:val="8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13"/>
  </w:num>
  <w:num w:numId="12">
    <w:abstractNumId w:val="10"/>
  </w:num>
  <w:num w:numId="13">
    <w:abstractNumId w:val="7"/>
  </w:num>
  <w:num w:numId="14">
    <w:abstractNumId w:val="20"/>
  </w:num>
  <w:num w:numId="15">
    <w:abstractNumId w:val="0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63F1"/>
    <w:rsid w:val="001524CB"/>
    <w:rsid w:val="00160724"/>
    <w:rsid w:val="001810EC"/>
    <w:rsid w:val="0018329A"/>
    <w:rsid w:val="00184C33"/>
    <w:rsid w:val="001A424C"/>
    <w:rsid w:val="001B13CF"/>
    <w:rsid w:val="001D3175"/>
    <w:rsid w:val="001E33C1"/>
    <w:rsid w:val="00212B68"/>
    <w:rsid w:val="0021537E"/>
    <w:rsid w:val="00224E17"/>
    <w:rsid w:val="00227732"/>
    <w:rsid w:val="002401B5"/>
    <w:rsid w:val="0025303D"/>
    <w:rsid w:val="00255FC5"/>
    <w:rsid w:val="00276FAB"/>
    <w:rsid w:val="00296423"/>
    <w:rsid w:val="002A09CB"/>
    <w:rsid w:val="002B3C1F"/>
    <w:rsid w:val="002C3390"/>
    <w:rsid w:val="002E338E"/>
    <w:rsid w:val="00321324"/>
    <w:rsid w:val="003258D2"/>
    <w:rsid w:val="00342E3B"/>
    <w:rsid w:val="00356A74"/>
    <w:rsid w:val="00364175"/>
    <w:rsid w:val="003A3B45"/>
    <w:rsid w:val="003B7F3A"/>
    <w:rsid w:val="003C06E3"/>
    <w:rsid w:val="003C38AC"/>
    <w:rsid w:val="003E2CDA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E732C"/>
    <w:rsid w:val="004F4594"/>
    <w:rsid w:val="0050076F"/>
    <w:rsid w:val="00523241"/>
    <w:rsid w:val="00524735"/>
    <w:rsid w:val="00527785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67303"/>
    <w:rsid w:val="00671673"/>
    <w:rsid w:val="00676940"/>
    <w:rsid w:val="006C08FC"/>
    <w:rsid w:val="006C118B"/>
    <w:rsid w:val="006D1206"/>
    <w:rsid w:val="006D3A50"/>
    <w:rsid w:val="006E3E22"/>
    <w:rsid w:val="006F0440"/>
    <w:rsid w:val="007221E1"/>
    <w:rsid w:val="0072419C"/>
    <w:rsid w:val="00734D38"/>
    <w:rsid w:val="00735DA2"/>
    <w:rsid w:val="00746B53"/>
    <w:rsid w:val="00753D61"/>
    <w:rsid w:val="007606D8"/>
    <w:rsid w:val="007A03F9"/>
    <w:rsid w:val="007A3C39"/>
    <w:rsid w:val="007B7434"/>
    <w:rsid w:val="007C224E"/>
    <w:rsid w:val="007C4598"/>
    <w:rsid w:val="007E3EF7"/>
    <w:rsid w:val="007F0483"/>
    <w:rsid w:val="007F5B1B"/>
    <w:rsid w:val="007F696F"/>
    <w:rsid w:val="008045E8"/>
    <w:rsid w:val="00811542"/>
    <w:rsid w:val="00815D5F"/>
    <w:rsid w:val="0082494E"/>
    <w:rsid w:val="00835F6B"/>
    <w:rsid w:val="0084650A"/>
    <w:rsid w:val="00850C16"/>
    <w:rsid w:val="00856276"/>
    <w:rsid w:val="008A23D2"/>
    <w:rsid w:val="008C7DAC"/>
    <w:rsid w:val="008E0D58"/>
    <w:rsid w:val="008F0135"/>
    <w:rsid w:val="008F4B57"/>
    <w:rsid w:val="008F56D0"/>
    <w:rsid w:val="009027FC"/>
    <w:rsid w:val="0092091C"/>
    <w:rsid w:val="00927BDF"/>
    <w:rsid w:val="00930038"/>
    <w:rsid w:val="00930E9B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F7726"/>
    <w:rsid w:val="00A015D6"/>
    <w:rsid w:val="00A24895"/>
    <w:rsid w:val="00A36851"/>
    <w:rsid w:val="00A65805"/>
    <w:rsid w:val="00A65F53"/>
    <w:rsid w:val="00A779C2"/>
    <w:rsid w:val="00A80F9E"/>
    <w:rsid w:val="00A83E5A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5127"/>
    <w:rsid w:val="00D57529"/>
    <w:rsid w:val="00D62AE9"/>
    <w:rsid w:val="00D6326A"/>
    <w:rsid w:val="00D672C6"/>
    <w:rsid w:val="00D75D6C"/>
    <w:rsid w:val="00DA145F"/>
    <w:rsid w:val="00DA534F"/>
    <w:rsid w:val="00DC5CEF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27</cp:revision>
  <cp:lastPrinted>2020-10-21T10:50:00Z</cp:lastPrinted>
  <dcterms:created xsi:type="dcterms:W3CDTF">2021-09-04T13:05:00Z</dcterms:created>
  <dcterms:modified xsi:type="dcterms:W3CDTF">2021-09-27T11:22:00Z</dcterms:modified>
</cp:coreProperties>
</file>