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7D" w:rsidRDefault="00F0296A" w:rsidP="00EF79CF">
            <w:pPr>
              <w:pStyle w:val="NoSpacing"/>
            </w:pPr>
            <w:r w:rsidRPr="008E0D58">
              <w:t xml:space="preserve">Main learning objective: To </w:t>
            </w:r>
            <w:r w:rsidR="00C45DFD">
              <w:t>multiply and divide whole and decimal numbers by 10, 100 and 1000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C45DFD">
              <w:rPr>
                <w:color w:val="00B050"/>
              </w:rPr>
              <w:t>: Friday 7</w:t>
            </w:r>
            <w:r w:rsidR="00C45DFD" w:rsidRPr="00C45DFD">
              <w:rPr>
                <w:color w:val="00B050"/>
                <w:vertAlign w:val="superscript"/>
              </w:rPr>
              <w:t>th</w:t>
            </w:r>
            <w:r w:rsidR="00C45DFD">
              <w:rPr>
                <w:color w:val="00B050"/>
              </w:rPr>
              <w:t xml:space="preserve"> January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8E08B9" w:rsidRPr="00E06CA2" w:rsidRDefault="008E08B9" w:rsidP="008E08B9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>Watch the following video</w:t>
            </w:r>
            <w:r>
              <w:rPr>
                <w:color w:val="00B050"/>
                <w:highlight w:val="white"/>
              </w:rPr>
              <w:t>s</w:t>
            </w:r>
            <w:r w:rsidRPr="00E06CA2">
              <w:rPr>
                <w:color w:val="00B050"/>
                <w:highlight w:val="white"/>
              </w:rPr>
              <w:t xml:space="preserve"> on </w:t>
            </w:r>
            <w:r>
              <w:rPr>
                <w:color w:val="00B050"/>
                <w:highlight w:val="white"/>
              </w:rPr>
              <w:t>‘multiply by 10, 100 and 1000’ and ‘divide by 10, 100 and 1000’ using the link</w:t>
            </w:r>
            <w:r w:rsidRPr="00E06CA2">
              <w:rPr>
                <w:color w:val="00B050"/>
                <w:highlight w:val="white"/>
              </w:rPr>
              <w:t xml:space="preserve"> below:</w:t>
            </w:r>
          </w:p>
          <w:p w:rsidR="008E08B9" w:rsidRDefault="008E08B9" w:rsidP="008E08B9"/>
          <w:p w:rsidR="008E08B9" w:rsidRDefault="00130194" w:rsidP="008E08B9">
            <w:pPr>
              <w:pStyle w:val="NoSpacing"/>
            </w:pPr>
            <w:hyperlink r:id="rId9" w:history="1">
              <w:r w:rsidR="008E08B9" w:rsidRPr="00F91A33">
                <w:rPr>
                  <w:rStyle w:val="Hyperlink"/>
                </w:rPr>
                <w:t>https://whiterosemaths.com/homelearning/year-6/week-1-number-decimals/</w:t>
              </w:r>
            </w:hyperlink>
          </w:p>
          <w:p w:rsidR="008E08B9" w:rsidRDefault="008E08B9" w:rsidP="008E08B9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  <w:p w:rsidR="008E08B9" w:rsidRDefault="008E08B9" w:rsidP="008E08B9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8E08B9" w:rsidRPr="006B1B30" w:rsidRDefault="008E08B9" w:rsidP="008E08B9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8E08B9" w:rsidRPr="008E08B9" w:rsidRDefault="008E08B9" w:rsidP="008E08B9">
            <w:pPr>
              <w:pStyle w:val="NoSpacing"/>
              <w:numPr>
                <w:ilvl w:val="0"/>
                <w:numId w:val="36"/>
              </w:numPr>
              <w:rPr>
                <w:color w:val="00B050"/>
              </w:rPr>
            </w:pPr>
            <w:r>
              <w:rPr>
                <w:b/>
                <w:color w:val="00B050"/>
              </w:rPr>
              <w:t>Multiplying by 10 and 100</w:t>
            </w:r>
          </w:p>
          <w:p w:rsidR="008E08B9" w:rsidRPr="008E08B9" w:rsidRDefault="008E08B9" w:rsidP="008E08B9">
            <w:pPr>
              <w:pStyle w:val="NoSpacing"/>
              <w:numPr>
                <w:ilvl w:val="0"/>
                <w:numId w:val="36"/>
              </w:numPr>
              <w:rPr>
                <w:color w:val="00B050"/>
              </w:rPr>
            </w:pPr>
            <w:r>
              <w:rPr>
                <w:b/>
                <w:color w:val="00B050"/>
              </w:rPr>
              <w:t>Dividing by 10 and 100</w:t>
            </w:r>
          </w:p>
          <w:p w:rsidR="008E08B9" w:rsidRPr="00E06CA2" w:rsidRDefault="008E08B9" w:rsidP="008E08B9">
            <w:pPr>
              <w:pStyle w:val="NoSpacing"/>
              <w:numPr>
                <w:ilvl w:val="0"/>
                <w:numId w:val="36"/>
              </w:numPr>
              <w:rPr>
                <w:color w:val="00B050"/>
              </w:rPr>
            </w:pPr>
            <w:r>
              <w:rPr>
                <w:b/>
                <w:color w:val="00B050"/>
              </w:rPr>
              <w:t>Multiply decimals by 10 and 100</w:t>
            </w:r>
          </w:p>
          <w:p w:rsidR="008E08B9" w:rsidRDefault="008E08B9" w:rsidP="00D1508A">
            <w:pPr>
              <w:pStyle w:val="NoSpacing"/>
              <w:rPr>
                <w:highlight w:val="yellow"/>
              </w:rPr>
            </w:pP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130194" w:rsidRPr="006B1B30" w:rsidRDefault="00130194" w:rsidP="00130194">
            <w:pPr>
              <w:pStyle w:val="NoSpacing"/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lastRenderedPageBreak/>
              <w:t>Watch the videos below to support your learning and help you understand how to convert metric units of capacity and mass</w:t>
            </w:r>
            <w:r w:rsidRPr="006B1B30">
              <w:rPr>
                <w:color w:val="00B050"/>
                <w:highlight w:val="white"/>
              </w:rPr>
              <w:t>:</w:t>
            </w:r>
          </w:p>
          <w:p w:rsidR="00130194" w:rsidRDefault="00130194" w:rsidP="00130194">
            <w:hyperlink r:id="rId10" w:history="1">
              <w:r w:rsidRPr="00213C01">
                <w:rPr>
                  <w:rStyle w:val="Hyperlink"/>
                </w:rPr>
                <w:t>https://corbettmathsprimary.com/2018/07/31/units-capacity-vid</w:t>
              </w:r>
              <w:r w:rsidRPr="00213C01">
                <w:rPr>
                  <w:rStyle w:val="Hyperlink"/>
                </w:rPr>
                <w:t>e</w:t>
              </w:r>
              <w:r w:rsidRPr="00213C01">
                <w:rPr>
                  <w:rStyle w:val="Hyperlink"/>
                </w:rPr>
                <w:t>o/</w:t>
              </w:r>
            </w:hyperlink>
          </w:p>
          <w:p w:rsidR="00130194" w:rsidRDefault="00130194" w:rsidP="00130194">
            <w:hyperlink r:id="rId11" w:history="1">
              <w:r w:rsidRPr="00213C01">
                <w:rPr>
                  <w:rStyle w:val="Hyperlink"/>
                </w:rPr>
                <w:t>https://corbettmathsprimary.com/2018/07/31/units-mass-video/</w:t>
              </w:r>
            </w:hyperlink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0164F4" w:rsidRPr="00953B6A" w:rsidRDefault="00953B6A" w:rsidP="00803B80">
            <w:pPr>
              <w:pStyle w:val="NoSpacing"/>
              <w:rPr>
                <w:b/>
                <w:color w:val="00B050"/>
                <w:highlight w:val="white"/>
              </w:rPr>
            </w:pPr>
            <w:r w:rsidRPr="00953B6A">
              <w:rPr>
                <w:b/>
                <w:color w:val="00B050"/>
                <w:highlight w:val="white"/>
              </w:rPr>
              <w:t xml:space="preserve">Complete the document titled ‘converting metric </w:t>
            </w:r>
            <w:proofErr w:type="gramStart"/>
            <w:r w:rsidRPr="00953B6A">
              <w:rPr>
                <w:b/>
                <w:color w:val="00B050"/>
                <w:highlight w:val="white"/>
              </w:rPr>
              <w:t>units</w:t>
            </w:r>
            <w:proofErr w:type="gramEnd"/>
            <w:r w:rsidRPr="00953B6A">
              <w:rPr>
                <w:b/>
                <w:color w:val="00B050"/>
                <w:highlight w:val="white"/>
              </w:rPr>
              <w:t xml:space="preserve"> ml, l, g, kg’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130194" w:rsidRPr="006B1B30" w:rsidRDefault="00130194" w:rsidP="00130194">
            <w:pPr>
              <w:pStyle w:val="NoSpacing"/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Watch the video</w:t>
            </w:r>
            <w:r>
              <w:rPr>
                <w:color w:val="00B050"/>
                <w:highlight w:val="white"/>
              </w:rPr>
              <w:t xml:space="preserve"> below to support your learning and help you understand how to convert metric units</w:t>
            </w:r>
            <w:r>
              <w:rPr>
                <w:color w:val="00B050"/>
                <w:highlight w:val="white"/>
              </w:rPr>
              <w:t xml:space="preserve"> of length</w:t>
            </w:r>
            <w:r w:rsidRPr="006B1B30">
              <w:rPr>
                <w:color w:val="00B050"/>
                <w:highlight w:val="white"/>
              </w:rPr>
              <w:t>:</w:t>
            </w:r>
          </w:p>
          <w:p w:rsidR="00130194" w:rsidRPr="00130194" w:rsidRDefault="00130194" w:rsidP="00130194">
            <w:pPr>
              <w:pStyle w:val="NoSpacing"/>
              <w:rPr>
                <w:color w:val="00B050"/>
                <w:highlight w:val="white"/>
              </w:rPr>
            </w:pPr>
          </w:p>
          <w:p w:rsidR="00130194" w:rsidRDefault="00130194" w:rsidP="00130194">
            <w:hyperlink r:id="rId12" w:history="1">
              <w:r w:rsidRPr="00213C01">
                <w:rPr>
                  <w:rStyle w:val="Hyperlink"/>
                </w:rPr>
                <w:t>https://corbettmathsprimary.com/2018/07/31/units-length-video/</w:t>
              </w:r>
            </w:hyperlink>
          </w:p>
          <w:p w:rsidR="00430AED" w:rsidRDefault="00430AED" w:rsidP="00912EAD">
            <w:pPr>
              <w:pStyle w:val="NoSpacing"/>
              <w:rPr>
                <w:rFonts w:cs="Arial"/>
              </w:rPr>
            </w:pPr>
          </w:p>
          <w:p w:rsidR="00953B6A" w:rsidRPr="00953B6A" w:rsidRDefault="00953B6A" w:rsidP="00953B6A">
            <w:pPr>
              <w:pStyle w:val="NoSpacing"/>
              <w:rPr>
                <w:b/>
                <w:color w:val="00B050"/>
                <w:highlight w:val="white"/>
              </w:rPr>
            </w:pPr>
            <w:bookmarkStart w:id="0" w:name="_GoBack"/>
            <w:bookmarkEnd w:id="0"/>
            <w:r w:rsidRPr="00953B6A">
              <w:rPr>
                <w:b/>
                <w:color w:val="00B050"/>
                <w:highlight w:val="white"/>
              </w:rPr>
              <w:t>Complete the document titled ‘conv</w:t>
            </w:r>
            <w:r>
              <w:rPr>
                <w:b/>
                <w:color w:val="00B050"/>
                <w:highlight w:val="white"/>
              </w:rPr>
              <w:t>erting metric units mm, cm, m and km</w:t>
            </w:r>
            <w:r w:rsidRPr="00953B6A">
              <w:rPr>
                <w:b/>
                <w:color w:val="00B050"/>
                <w:highlight w:val="white"/>
              </w:rPr>
              <w:t xml:space="preserve">’ </w:t>
            </w:r>
          </w:p>
          <w:p w:rsidR="0025324C" w:rsidRPr="0025324C" w:rsidRDefault="0025324C" w:rsidP="0025324C">
            <w:pPr>
              <w:rPr>
                <w:color w:val="7030A0"/>
              </w:rPr>
            </w:pPr>
          </w:p>
          <w:p w:rsidR="003C2ED7" w:rsidRDefault="003C2ED7" w:rsidP="00AF3543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F3543" w:rsidRDefault="00AF3543" w:rsidP="00F01577">
            <w:pPr>
              <w:pStyle w:val="NoSpacing"/>
              <w:rPr>
                <w:rFonts w:cs="Arial"/>
                <w:color w:val="7030A0"/>
              </w:rPr>
            </w:pPr>
          </w:p>
          <w:p w:rsidR="00AF3543" w:rsidRDefault="00AF3543" w:rsidP="00F01577">
            <w:pPr>
              <w:pStyle w:val="NoSpacing"/>
              <w:rPr>
                <w:rFonts w:cs="Arial"/>
                <w:color w:val="7030A0"/>
              </w:rPr>
            </w:pPr>
          </w:p>
          <w:p w:rsidR="00BE38C6" w:rsidRPr="006B1B30" w:rsidRDefault="00BE38C6" w:rsidP="00BE38C6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7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64F4"/>
    <w:rsid w:val="000173E9"/>
    <w:rsid w:val="00024630"/>
    <w:rsid w:val="00025843"/>
    <w:rsid w:val="00037C29"/>
    <w:rsid w:val="00041AEE"/>
    <w:rsid w:val="00047CA5"/>
    <w:rsid w:val="000946CD"/>
    <w:rsid w:val="00095E81"/>
    <w:rsid w:val="000D16E5"/>
    <w:rsid w:val="000E780A"/>
    <w:rsid w:val="00104AEB"/>
    <w:rsid w:val="00112524"/>
    <w:rsid w:val="00115E1A"/>
    <w:rsid w:val="00130194"/>
    <w:rsid w:val="001363F1"/>
    <w:rsid w:val="001621B0"/>
    <w:rsid w:val="00163DC3"/>
    <w:rsid w:val="00184C33"/>
    <w:rsid w:val="00185288"/>
    <w:rsid w:val="001B13CF"/>
    <w:rsid w:val="001B405E"/>
    <w:rsid w:val="001C6967"/>
    <w:rsid w:val="001F5559"/>
    <w:rsid w:val="00220629"/>
    <w:rsid w:val="00240111"/>
    <w:rsid w:val="0025324C"/>
    <w:rsid w:val="00265511"/>
    <w:rsid w:val="00296423"/>
    <w:rsid w:val="002B3C1F"/>
    <w:rsid w:val="002B67D3"/>
    <w:rsid w:val="002D5097"/>
    <w:rsid w:val="0031094B"/>
    <w:rsid w:val="00322481"/>
    <w:rsid w:val="00333DD7"/>
    <w:rsid w:val="00342E3B"/>
    <w:rsid w:val="00370D5E"/>
    <w:rsid w:val="00382CF8"/>
    <w:rsid w:val="00391F6B"/>
    <w:rsid w:val="003A3B45"/>
    <w:rsid w:val="003C06E3"/>
    <w:rsid w:val="003C2ED7"/>
    <w:rsid w:val="003C38AC"/>
    <w:rsid w:val="00401DB0"/>
    <w:rsid w:val="00430AED"/>
    <w:rsid w:val="00444555"/>
    <w:rsid w:val="00445A4E"/>
    <w:rsid w:val="00466C61"/>
    <w:rsid w:val="00480F10"/>
    <w:rsid w:val="00486A0C"/>
    <w:rsid w:val="004C0CBE"/>
    <w:rsid w:val="00500EE7"/>
    <w:rsid w:val="00525A2F"/>
    <w:rsid w:val="00540C48"/>
    <w:rsid w:val="0054707C"/>
    <w:rsid w:val="0056770F"/>
    <w:rsid w:val="005B08D6"/>
    <w:rsid w:val="005D3BD6"/>
    <w:rsid w:val="005D6058"/>
    <w:rsid w:val="005E3A2A"/>
    <w:rsid w:val="00603A32"/>
    <w:rsid w:val="006160EA"/>
    <w:rsid w:val="0066488C"/>
    <w:rsid w:val="00686922"/>
    <w:rsid w:val="006B1B30"/>
    <w:rsid w:val="006C08FC"/>
    <w:rsid w:val="006C4DA1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6C2"/>
    <w:rsid w:val="00800C52"/>
    <w:rsid w:val="00803B80"/>
    <w:rsid w:val="00811542"/>
    <w:rsid w:val="0082494E"/>
    <w:rsid w:val="0083372D"/>
    <w:rsid w:val="00840DBE"/>
    <w:rsid w:val="008446E8"/>
    <w:rsid w:val="0084650A"/>
    <w:rsid w:val="008545C1"/>
    <w:rsid w:val="008A23D2"/>
    <w:rsid w:val="008C7DAC"/>
    <w:rsid w:val="008E08B9"/>
    <w:rsid w:val="008E0D58"/>
    <w:rsid w:val="00912EAD"/>
    <w:rsid w:val="00953B6A"/>
    <w:rsid w:val="00955B4C"/>
    <w:rsid w:val="00965220"/>
    <w:rsid w:val="009665D4"/>
    <w:rsid w:val="009871F1"/>
    <w:rsid w:val="009909DC"/>
    <w:rsid w:val="00997BDB"/>
    <w:rsid w:val="009A3FB0"/>
    <w:rsid w:val="009B15D4"/>
    <w:rsid w:val="009C1783"/>
    <w:rsid w:val="009D40AF"/>
    <w:rsid w:val="009E32F9"/>
    <w:rsid w:val="00A24895"/>
    <w:rsid w:val="00A37BCD"/>
    <w:rsid w:val="00A65805"/>
    <w:rsid w:val="00A65F53"/>
    <w:rsid w:val="00A76021"/>
    <w:rsid w:val="00A779C2"/>
    <w:rsid w:val="00AC12DB"/>
    <w:rsid w:val="00AD68F4"/>
    <w:rsid w:val="00AF3543"/>
    <w:rsid w:val="00B0343B"/>
    <w:rsid w:val="00B11641"/>
    <w:rsid w:val="00B30EFE"/>
    <w:rsid w:val="00B46C37"/>
    <w:rsid w:val="00B74586"/>
    <w:rsid w:val="00B7624D"/>
    <w:rsid w:val="00BC0E15"/>
    <w:rsid w:val="00BC32DC"/>
    <w:rsid w:val="00BC3A4F"/>
    <w:rsid w:val="00BC4CE8"/>
    <w:rsid w:val="00BD050F"/>
    <w:rsid w:val="00BD089B"/>
    <w:rsid w:val="00BD2218"/>
    <w:rsid w:val="00BD5E52"/>
    <w:rsid w:val="00BE38C6"/>
    <w:rsid w:val="00C16F74"/>
    <w:rsid w:val="00C26DE9"/>
    <w:rsid w:val="00C402CC"/>
    <w:rsid w:val="00C40FEA"/>
    <w:rsid w:val="00C45DFD"/>
    <w:rsid w:val="00C54D79"/>
    <w:rsid w:val="00C93A2D"/>
    <w:rsid w:val="00C95C88"/>
    <w:rsid w:val="00CA7FE3"/>
    <w:rsid w:val="00CC076E"/>
    <w:rsid w:val="00CF048B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E12AC"/>
    <w:rsid w:val="00DE5B66"/>
    <w:rsid w:val="00DE614F"/>
    <w:rsid w:val="00DE7CD7"/>
    <w:rsid w:val="00DF04AF"/>
    <w:rsid w:val="00E06CA2"/>
    <w:rsid w:val="00E1088C"/>
    <w:rsid w:val="00E25614"/>
    <w:rsid w:val="00E53D11"/>
    <w:rsid w:val="00E71037"/>
    <w:rsid w:val="00E801E2"/>
    <w:rsid w:val="00E82D92"/>
    <w:rsid w:val="00E847D2"/>
    <w:rsid w:val="00E95D14"/>
    <w:rsid w:val="00EA1CC4"/>
    <w:rsid w:val="00ED690D"/>
    <w:rsid w:val="00EF79CF"/>
    <w:rsid w:val="00F01577"/>
    <w:rsid w:val="00F0296A"/>
    <w:rsid w:val="00F14C4D"/>
    <w:rsid w:val="00F26F7A"/>
    <w:rsid w:val="00F3188A"/>
    <w:rsid w:val="00F47679"/>
    <w:rsid w:val="00F768F6"/>
    <w:rsid w:val="00F77B7D"/>
    <w:rsid w:val="00F82A17"/>
    <w:rsid w:val="00FA54DC"/>
    <w:rsid w:val="00FB70C4"/>
    <w:rsid w:val="00FD4B73"/>
    <w:rsid w:val="00FD6201"/>
    <w:rsid w:val="00FE79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D193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2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5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0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8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0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77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65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8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9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34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567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917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397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corbettmathsprimary.com/2018/07/31/units-length-vide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primary.com/2018/07/31/units-mass-vide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hyperlink" Target="https://corbettmathsprimary.com/2018/07/31/units-capacity-vide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week-1-number-decimals/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2021-11-02T12:54:00Z</dcterms:created>
  <dcterms:modified xsi:type="dcterms:W3CDTF">2021-11-02T12:58:00Z</dcterms:modified>
</cp:coreProperties>
</file>