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C26DE9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268A79CA" wp14:editId="296EF31B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7D" w:rsidRDefault="00F0296A" w:rsidP="00EF79CF">
            <w:pPr>
              <w:pStyle w:val="NoSpacing"/>
            </w:pPr>
            <w:r w:rsidRPr="008E0D58">
              <w:t xml:space="preserve">Main learning objective: To </w:t>
            </w:r>
            <w:r w:rsidR="00EF79CF">
              <w:t>calculate percentages of amounts</w:t>
            </w:r>
            <w:r w:rsidR="00664E2B">
              <w:t xml:space="preserve"> and use this to identify increases and decreases in amounts</w:t>
            </w:r>
            <w:r w:rsidR="00EF79CF">
              <w:t>.</w:t>
            </w:r>
            <w:r w:rsidR="00664E2B">
              <w:t xml:space="preserve"> Also multiply and divide by decimals. </w:t>
            </w:r>
            <w:r w:rsidR="00EF79CF">
              <w:t xml:space="preserve"> 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E919A7">
              <w:rPr>
                <w:color w:val="00B050"/>
              </w:rPr>
              <w:t>: Friday 10</w:t>
            </w:r>
            <w:r w:rsidR="00E919A7" w:rsidRPr="00E919A7">
              <w:rPr>
                <w:color w:val="00B050"/>
                <w:vertAlign w:val="superscript"/>
              </w:rPr>
              <w:t>th</w:t>
            </w:r>
            <w:r w:rsidR="00E919A7">
              <w:rPr>
                <w:color w:val="00B050"/>
              </w:rPr>
              <w:t xml:space="preserve"> </w:t>
            </w:r>
            <w:r w:rsidR="00E53D11">
              <w:rPr>
                <w:color w:val="00B050"/>
              </w:rPr>
              <w:t>Dec</w:t>
            </w:r>
            <w:r w:rsidR="00037C29">
              <w:rPr>
                <w:color w:val="00B050"/>
              </w:rPr>
              <w:t>em</w:t>
            </w:r>
            <w:r w:rsidR="00800C52">
              <w:rPr>
                <w:color w:val="00B050"/>
              </w:rPr>
              <w:t>ber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2EE035" wp14:editId="615C2BC4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56770F" w:rsidRPr="00E06CA2" w:rsidRDefault="0056770F" w:rsidP="0056770F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 w:rsidR="00B7624D">
              <w:rPr>
                <w:color w:val="00B050"/>
                <w:highlight w:val="white"/>
              </w:rPr>
              <w:t>‘</w:t>
            </w:r>
            <w:r w:rsidR="00E919A7">
              <w:rPr>
                <w:color w:val="00B050"/>
                <w:highlight w:val="white"/>
              </w:rPr>
              <w:t>percentage of an amount 2’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56770F" w:rsidRDefault="0056770F" w:rsidP="0056770F"/>
          <w:p w:rsidR="000D633B" w:rsidRDefault="000D633B" w:rsidP="000D633B">
            <w:pPr>
              <w:pStyle w:val="NoSpacing"/>
            </w:pPr>
            <w:hyperlink r:id="rId9" w:history="1">
              <w:r w:rsidRPr="00E64557">
                <w:rPr>
                  <w:rStyle w:val="Hyperlink"/>
                </w:rPr>
                <w:t>https://whiterosemaths.com/homelearning/year-6/spring-week-4-number-percentages-2/</w:t>
              </w:r>
            </w:hyperlink>
          </w:p>
          <w:p w:rsidR="00E919A7" w:rsidRDefault="00E919A7" w:rsidP="006D134B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E919A7" w:rsidRPr="006B1B30" w:rsidRDefault="00E919A7" w:rsidP="00E919A7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E919A7" w:rsidRPr="000D16E5" w:rsidRDefault="00E919A7" w:rsidP="00E919A7">
            <w:pPr>
              <w:pStyle w:val="NoSpacing"/>
              <w:numPr>
                <w:ilvl w:val="0"/>
                <w:numId w:val="36"/>
              </w:numPr>
              <w:rPr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Percentages of amounts 2</w:t>
            </w:r>
          </w:p>
          <w:p w:rsidR="00F14C4D" w:rsidRDefault="00F14C4D" w:rsidP="006D134B">
            <w:pPr>
              <w:pStyle w:val="NoSpacing"/>
              <w:ind w:left="720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B7624D" w:rsidRPr="00E06CA2" w:rsidRDefault="00B7624D" w:rsidP="00B7624D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 w:rsidR="000D633B">
              <w:rPr>
                <w:color w:val="00B050"/>
                <w:highlight w:val="white"/>
              </w:rPr>
              <w:t>‘percentages – missing values</w:t>
            </w:r>
            <w:r>
              <w:rPr>
                <w:color w:val="00B050"/>
                <w:highlight w:val="white"/>
              </w:rPr>
              <w:t xml:space="preserve">’ </w:t>
            </w:r>
            <w:r w:rsidRPr="00E06CA2">
              <w:rPr>
                <w:color w:val="00B050"/>
                <w:highlight w:val="white"/>
              </w:rPr>
              <w:t>using the links below:</w:t>
            </w:r>
          </w:p>
          <w:p w:rsidR="00B7624D" w:rsidRDefault="00B7624D" w:rsidP="00B7624D"/>
          <w:p w:rsidR="00B7624D" w:rsidRDefault="008338E5" w:rsidP="00B7624D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hyperlink r:id="rId10" w:history="1">
              <w:r w:rsidR="00333DD7" w:rsidRPr="00AB42BF">
                <w:rPr>
                  <w:rStyle w:val="Hyperlink"/>
                  <w:rFonts w:ascii="Calibri" w:eastAsia="Calibri" w:hAnsi="Calibri" w:cs="Calibri"/>
                  <w:lang w:eastAsia="en-GB"/>
                </w:rPr>
                <w:t>https://whiterosemaths.com/homelearning/year-6/spring-week-3-number-percentages/</w:t>
              </w:r>
            </w:hyperlink>
          </w:p>
          <w:p w:rsidR="00333DD7" w:rsidRDefault="00333DD7" w:rsidP="00B7624D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</w:p>
          <w:p w:rsidR="00B7624D" w:rsidRDefault="00B7624D" w:rsidP="00B7624D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333DD7" w:rsidRPr="006B1B30" w:rsidRDefault="00333DD7" w:rsidP="00333DD7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333DD7" w:rsidRPr="00E06CA2" w:rsidRDefault="00333DD7" w:rsidP="000D633B">
            <w:pPr>
              <w:pStyle w:val="NoSpacing"/>
              <w:numPr>
                <w:ilvl w:val="0"/>
                <w:numId w:val="36"/>
              </w:numPr>
              <w:rPr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Modelling </w:t>
            </w:r>
            <w:r w:rsidR="000D633B">
              <w:rPr>
                <w:b/>
                <w:color w:val="00B050"/>
                <w:highlight w:val="white"/>
              </w:rPr>
              <w:t xml:space="preserve">percentages 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333DD7" w:rsidRPr="006B1B30" w:rsidRDefault="00333DD7" w:rsidP="00333DD7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333DD7" w:rsidRPr="00E06CA2" w:rsidRDefault="000D633B" w:rsidP="00333DD7">
            <w:pPr>
              <w:pStyle w:val="NoSpacing"/>
              <w:numPr>
                <w:ilvl w:val="0"/>
                <w:numId w:val="36"/>
              </w:numPr>
              <w:rPr>
                <w:color w:val="00B050"/>
              </w:rPr>
            </w:pPr>
            <w:r>
              <w:rPr>
                <w:b/>
                <w:color w:val="00B050"/>
              </w:rPr>
              <w:t>Modelling percentage increase and decrease</w:t>
            </w: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25324C" w:rsidRDefault="0025324C" w:rsidP="00AF3543">
            <w:pPr>
              <w:pStyle w:val="NoSpacing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5B08D6" w:rsidRDefault="005B08D6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C54D79" w:rsidRPr="00E06CA2" w:rsidRDefault="00C54D79" w:rsidP="00C54D79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34589D">
              <w:rPr>
                <w:color w:val="00B050"/>
                <w:highlight w:val="white"/>
              </w:rPr>
              <w:t>multiply decimals by integers</w:t>
            </w:r>
            <w:r>
              <w:rPr>
                <w:color w:val="00B050"/>
                <w:highlight w:val="white"/>
              </w:rPr>
              <w:t>’</w:t>
            </w:r>
            <w:r w:rsidR="0034589D">
              <w:rPr>
                <w:color w:val="00B050"/>
                <w:highlight w:val="white"/>
              </w:rPr>
              <w:t xml:space="preserve"> </w:t>
            </w:r>
            <w:r w:rsidRPr="00E06CA2">
              <w:rPr>
                <w:color w:val="00B050"/>
                <w:highlight w:val="white"/>
              </w:rPr>
              <w:t>using the links below:</w:t>
            </w:r>
          </w:p>
          <w:p w:rsidR="00C54D79" w:rsidRDefault="00C54D79" w:rsidP="00C54D79"/>
          <w:p w:rsidR="00AC12DB" w:rsidRDefault="0034589D" w:rsidP="00EA1CC4">
            <w:pPr>
              <w:pStyle w:val="NoSpacing"/>
            </w:pPr>
            <w:hyperlink r:id="rId11" w:history="1">
              <w:r w:rsidRPr="00E64557">
                <w:rPr>
                  <w:rStyle w:val="Hyperlink"/>
                </w:rPr>
                <w:t>https://whiterosemaths.com/homelearning/year-6/spring-week-2-number-decimals/</w:t>
              </w:r>
            </w:hyperlink>
          </w:p>
          <w:p w:rsidR="0034589D" w:rsidRPr="000D16E5" w:rsidRDefault="0034589D" w:rsidP="00EA1CC4">
            <w:pPr>
              <w:pStyle w:val="NoSpacing"/>
              <w:rPr>
                <w:color w:val="00B050"/>
                <w:highlight w:val="white"/>
              </w:rPr>
            </w:pPr>
          </w:p>
          <w:p w:rsidR="0034589D" w:rsidRPr="006B1B30" w:rsidRDefault="0034589D" w:rsidP="0034589D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34589D" w:rsidRPr="00E06CA2" w:rsidRDefault="0034589D" w:rsidP="0034589D">
            <w:pPr>
              <w:pStyle w:val="NoSpacing"/>
              <w:numPr>
                <w:ilvl w:val="0"/>
                <w:numId w:val="36"/>
              </w:numPr>
              <w:rPr>
                <w:color w:val="00B050"/>
              </w:rPr>
            </w:pPr>
            <w:r>
              <w:rPr>
                <w:b/>
                <w:color w:val="00B050"/>
              </w:rPr>
              <w:t>M</w:t>
            </w:r>
            <w:r>
              <w:rPr>
                <w:b/>
                <w:color w:val="00B050"/>
              </w:rPr>
              <w:t>ultiply decimals by whole numbers</w:t>
            </w:r>
          </w:p>
          <w:p w:rsidR="00BD050F" w:rsidRDefault="00BD050F" w:rsidP="0056770F"/>
          <w:p w:rsidR="00430AED" w:rsidRDefault="005E3A2A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Lesson five:</w:t>
            </w:r>
            <w:r w:rsidR="006C4DA1">
              <w:rPr>
                <w:rFonts w:cs="Arial"/>
              </w:rPr>
              <w:t xml:space="preserve"> </w:t>
            </w:r>
          </w:p>
          <w:p w:rsidR="00AF3543" w:rsidRDefault="00AF3543" w:rsidP="00F01577">
            <w:pPr>
              <w:pStyle w:val="NoSpacing"/>
              <w:rPr>
                <w:rFonts w:cs="Arial"/>
                <w:color w:val="7030A0"/>
              </w:rPr>
            </w:pPr>
            <w:bookmarkStart w:id="0" w:name="_GoBack"/>
            <w:bookmarkEnd w:id="0"/>
          </w:p>
          <w:p w:rsidR="00AF3543" w:rsidRDefault="00AF3543" w:rsidP="00F01577">
            <w:pPr>
              <w:pStyle w:val="NoSpacing"/>
              <w:rPr>
                <w:rFonts w:cs="Arial"/>
                <w:color w:val="7030A0"/>
              </w:rPr>
            </w:pPr>
          </w:p>
          <w:p w:rsidR="00F01577" w:rsidRPr="00E06CA2" w:rsidRDefault="00F01577" w:rsidP="00F01577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9E32F9">
              <w:rPr>
                <w:color w:val="00B050"/>
                <w:highlight w:val="white"/>
              </w:rPr>
              <w:t>percentage of an amount 1</w:t>
            </w:r>
            <w:r>
              <w:rPr>
                <w:color w:val="00B050"/>
                <w:highlight w:val="white"/>
              </w:rPr>
              <w:t>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F01577" w:rsidRDefault="00F01577" w:rsidP="00F01577"/>
          <w:p w:rsidR="00AC12DB" w:rsidRDefault="008338E5" w:rsidP="00F01577">
            <w:hyperlink r:id="rId12" w:history="1">
              <w:r w:rsidR="009E32F9" w:rsidRPr="00AB42BF">
                <w:rPr>
                  <w:rStyle w:val="Hyperlink"/>
                </w:rPr>
                <w:t>https://whiterosemaths.com/homelearning/year-6/spring-week-4-number-percentages-2/</w:t>
              </w:r>
            </w:hyperlink>
          </w:p>
          <w:p w:rsidR="009E32F9" w:rsidRDefault="009E32F9" w:rsidP="00F01577"/>
          <w:p w:rsidR="009E32F9" w:rsidRPr="006B1B30" w:rsidRDefault="009E32F9" w:rsidP="009E32F9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BE38C6" w:rsidRDefault="0034589D" w:rsidP="009E32F9">
            <w:pPr>
              <w:pStyle w:val="NoSpacing"/>
              <w:numPr>
                <w:ilvl w:val="0"/>
                <w:numId w:val="36"/>
              </w:numPr>
            </w:pPr>
            <w:r>
              <w:rPr>
                <w:b/>
                <w:color w:val="00B050"/>
              </w:rPr>
              <w:t>Divide decimals by whole numbers</w:t>
            </w:r>
          </w:p>
          <w:p w:rsidR="00BE38C6" w:rsidRPr="006B1B30" w:rsidRDefault="00BE38C6" w:rsidP="00BE38C6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F0296A" w:rsidRDefault="00F0296A" w:rsidP="0083372D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699AA" wp14:editId="41E1FB8E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57C468A" wp14:editId="5BAAC857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1D491E3" wp14:editId="12ED9AF8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5EC5FB" wp14:editId="0EDDF645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7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proofErr w:type="spellStart"/>
    <w:r w:rsidRPr="005D6058">
      <w:rPr>
        <w:rFonts w:asciiTheme="minorHAnsi" w:hAnsiTheme="minorHAnsi"/>
        <w:w w:val="105"/>
        <w:sz w:val="40"/>
      </w:rPr>
      <w:t>Engayne</w:t>
    </w:r>
    <w:proofErr w:type="spellEnd"/>
    <w:r w:rsidRPr="005D6058">
      <w:rPr>
        <w:rFonts w:asciiTheme="minorHAnsi" w:hAnsiTheme="minorHAnsi"/>
        <w:w w:val="105"/>
        <w:sz w:val="40"/>
      </w:rPr>
      <w:t xml:space="preserve">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A7F60"/>
    <w:multiLevelType w:val="hybridMultilevel"/>
    <w:tmpl w:val="BA9C8EDC"/>
    <w:lvl w:ilvl="0" w:tplc="FC32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E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6"/>
  </w:num>
  <w:num w:numId="5">
    <w:abstractNumId w:val="9"/>
  </w:num>
  <w:num w:numId="6">
    <w:abstractNumId w:val="20"/>
  </w:num>
  <w:num w:numId="7">
    <w:abstractNumId w:val="34"/>
  </w:num>
  <w:num w:numId="8">
    <w:abstractNumId w:val="12"/>
  </w:num>
  <w:num w:numId="9">
    <w:abstractNumId w:val="18"/>
  </w:num>
  <w:num w:numId="10">
    <w:abstractNumId w:val="6"/>
  </w:num>
  <w:num w:numId="11">
    <w:abstractNumId w:val="32"/>
  </w:num>
  <w:num w:numId="12">
    <w:abstractNumId w:val="35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31"/>
  </w:num>
  <w:num w:numId="18">
    <w:abstractNumId w:val="22"/>
  </w:num>
  <w:num w:numId="19">
    <w:abstractNumId w:val="14"/>
  </w:num>
  <w:num w:numId="20">
    <w:abstractNumId w:val="36"/>
  </w:num>
  <w:num w:numId="21">
    <w:abstractNumId w:val="11"/>
  </w:num>
  <w:num w:numId="22">
    <w:abstractNumId w:val="23"/>
  </w:num>
  <w:num w:numId="23">
    <w:abstractNumId w:val="30"/>
  </w:num>
  <w:num w:numId="24">
    <w:abstractNumId w:val="29"/>
  </w:num>
  <w:num w:numId="25">
    <w:abstractNumId w:val="5"/>
  </w:num>
  <w:num w:numId="26">
    <w:abstractNumId w:val="33"/>
  </w:num>
  <w:num w:numId="27">
    <w:abstractNumId w:val="25"/>
  </w:num>
  <w:num w:numId="28">
    <w:abstractNumId w:val="28"/>
  </w:num>
  <w:num w:numId="29">
    <w:abstractNumId w:val="27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1"/>
  </w:num>
  <w:num w:numId="35">
    <w:abstractNumId w:val="10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64F4"/>
    <w:rsid w:val="000173E9"/>
    <w:rsid w:val="00024630"/>
    <w:rsid w:val="00025843"/>
    <w:rsid w:val="00037C29"/>
    <w:rsid w:val="00041AEE"/>
    <w:rsid w:val="00047CA5"/>
    <w:rsid w:val="000946CD"/>
    <w:rsid w:val="00095E81"/>
    <w:rsid w:val="000D16E5"/>
    <w:rsid w:val="000D633B"/>
    <w:rsid w:val="000E780A"/>
    <w:rsid w:val="00104AEB"/>
    <w:rsid w:val="00112524"/>
    <w:rsid w:val="00115E1A"/>
    <w:rsid w:val="001363F1"/>
    <w:rsid w:val="001621B0"/>
    <w:rsid w:val="00163DC3"/>
    <w:rsid w:val="00184C33"/>
    <w:rsid w:val="00185288"/>
    <w:rsid w:val="001B13CF"/>
    <w:rsid w:val="001B405E"/>
    <w:rsid w:val="001F5559"/>
    <w:rsid w:val="00220629"/>
    <w:rsid w:val="00240111"/>
    <w:rsid w:val="0025324C"/>
    <w:rsid w:val="00265511"/>
    <w:rsid w:val="00296423"/>
    <w:rsid w:val="002B3C1F"/>
    <w:rsid w:val="002B67D3"/>
    <w:rsid w:val="002D5097"/>
    <w:rsid w:val="0031094B"/>
    <w:rsid w:val="00322481"/>
    <w:rsid w:val="00333DD7"/>
    <w:rsid w:val="00342E3B"/>
    <w:rsid w:val="0034589D"/>
    <w:rsid w:val="00370D5E"/>
    <w:rsid w:val="00382CF8"/>
    <w:rsid w:val="00391F6B"/>
    <w:rsid w:val="003A3B45"/>
    <w:rsid w:val="003C06E3"/>
    <w:rsid w:val="003C2ED7"/>
    <w:rsid w:val="003C38AC"/>
    <w:rsid w:val="003F6B10"/>
    <w:rsid w:val="00401DB0"/>
    <w:rsid w:val="00430AED"/>
    <w:rsid w:val="00444555"/>
    <w:rsid w:val="00445A4E"/>
    <w:rsid w:val="00466C61"/>
    <w:rsid w:val="00480F10"/>
    <w:rsid w:val="00486A0C"/>
    <w:rsid w:val="004C0CBE"/>
    <w:rsid w:val="00500EE7"/>
    <w:rsid w:val="00525A2F"/>
    <w:rsid w:val="00540C48"/>
    <w:rsid w:val="0054707C"/>
    <w:rsid w:val="0056770F"/>
    <w:rsid w:val="005A678E"/>
    <w:rsid w:val="005B08D6"/>
    <w:rsid w:val="005D3BD6"/>
    <w:rsid w:val="005D6058"/>
    <w:rsid w:val="005E3A2A"/>
    <w:rsid w:val="00603A32"/>
    <w:rsid w:val="006160EA"/>
    <w:rsid w:val="0066488C"/>
    <w:rsid w:val="00664E2B"/>
    <w:rsid w:val="00686922"/>
    <w:rsid w:val="006B1B30"/>
    <w:rsid w:val="006C08FC"/>
    <w:rsid w:val="006C4DA1"/>
    <w:rsid w:val="006D134B"/>
    <w:rsid w:val="006D38F1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006C2"/>
    <w:rsid w:val="00800C52"/>
    <w:rsid w:val="00803B80"/>
    <w:rsid w:val="00811542"/>
    <w:rsid w:val="0082494E"/>
    <w:rsid w:val="0083372D"/>
    <w:rsid w:val="008338E5"/>
    <w:rsid w:val="00840DBE"/>
    <w:rsid w:val="008446E8"/>
    <w:rsid w:val="0084650A"/>
    <w:rsid w:val="008545C1"/>
    <w:rsid w:val="008A23D2"/>
    <w:rsid w:val="008C7DAC"/>
    <w:rsid w:val="008E0D58"/>
    <w:rsid w:val="00955B4C"/>
    <w:rsid w:val="00965220"/>
    <w:rsid w:val="009665D4"/>
    <w:rsid w:val="009871F1"/>
    <w:rsid w:val="009909DC"/>
    <w:rsid w:val="00997BDB"/>
    <w:rsid w:val="009A3FB0"/>
    <w:rsid w:val="009B15D4"/>
    <w:rsid w:val="009C1783"/>
    <w:rsid w:val="009D40AF"/>
    <w:rsid w:val="009D4D8A"/>
    <w:rsid w:val="009E32F9"/>
    <w:rsid w:val="00A24895"/>
    <w:rsid w:val="00A37BCD"/>
    <w:rsid w:val="00A65805"/>
    <w:rsid w:val="00A65F53"/>
    <w:rsid w:val="00A76021"/>
    <w:rsid w:val="00A779C2"/>
    <w:rsid w:val="00AC12DB"/>
    <w:rsid w:val="00AD68F4"/>
    <w:rsid w:val="00AF3543"/>
    <w:rsid w:val="00B0343B"/>
    <w:rsid w:val="00B11641"/>
    <w:rsid w:val="00B30EFE"/>
    <w:rsid w:val="00B46C37"/>
    <w:rsid w:val="00B74586"/>
    <w:rsid w:val="00B7624D"/>
    <w:rsid w:val="00BC0E15"/>
    <w:rsid w:val="00BC32DC"/>
    <w:rsid w:val="00BC3A4F"/>
    <w:rsid w:val="00BC4CE8"/>
    <w:rsid w:val="00BD050F"/>
    <w:rsid w:val="00BD089B"/>
    <w:rsid w:val="00BD2218"/>
    <w:rsid w:val="00BD5E52"/>
    <w:rsid w:val="00BE38C6"/>
    <w:rsid w:val="00C16F74"/>
    <w:rsid w:val="00C26DE9"/>
    <w:rsid w:val="00C402CC"/>
    <w:rsid w:val="00C40FEA"/>
    <w:rsid w:val="00C54D79"/>
    <w:rsid w:val="00C93A2D"/>
    <w:rsid w:val="00C95C88"/>
    <w:rsid w:val="00CA7FE3"/>
    <w:rsid w:val="00CC076E"/>
    <w:rsid w:val="00CF048B"/>
    <w:rsid w:val="00D03BF8"/>
    <w:rsid w:val="00D1508A"/>
    <w:rsid w:val="00D2591D"/>
    <w:rsid w:val="00D44703"/>
    <w:rsid w:val="00D54C06"/>
    <w:rsid w:val="00D6122B"/>
    <w:rsid w:val="00DA534F"/>
    <w:rsid w:val="00DA7856"/>
    <w:rsid w:val="00DB2014"/>
    <w:rsid w:val="00DB5055"/>
    <w:rsid w:val="00DE12AC"/>
    <w:rsid w:val="00DE5B66"/>
    <w:rsid w:val="00DE614F"/>
    <w:rsid w:val="00DE7CD7"/>
    <w:rsid w:val="00DF04AF"/>
    <w:rsid w:val="00E06CA2"/>
    <w:rsid w:val="00E1088C"/>
    <w:rsid w:val="00E25614"/>
    <w:rsid w:val="00E53D11"/>
    <w:rsid w:val="00E71037"/>
    <w:rsid w:val="00E801E2"/>
    <w:rsid w:val="00E82D92"/>
    <w:rsid w:val="00E847D2"/>
    <w:rsid w:val="00E919A7"/>
    <w:rsid w:val="00E95D14"/>
    <w:rsid w:val="00EA1CC4"/>
    <w:rsid w:val="00ED690D"/>
    <w:rsid w:val="00ED73AF"/>
    <w:rsid w:val="00EF79CF"/>
    <w:rsid w:val="00F01577"/>
    <w:rsid w:val="00F0296A"/>
    <w:rsid w:val="00F14C4D"/>
    <w:rsid w:val="00F26F7A"/>
    <w:rsid w:val="00F3188A"/>
    <w:rsid w:val="00F47679"/>
    <w:rsid w:val="00F768F6"/>
    <w:rsid w:val="00F77B7D"/>
    <w:rsid w:val="00F82A17"/>
    <w:rsid w:val="00FA54DC"/>
    <w:rsid w:val="00FB70C4"/>
    <w:rsid w:val="00FD4B73"/>
    <w:rsid w:val="00FD6201"/>
    <w:rsid w:val="00FE793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1EC8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2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2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5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0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8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09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77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65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8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97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345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567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6917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397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3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spring-week-4-number-percentages-2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spring-week-2-number-decimal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tmp"/><Relationship Id="rId10" Type="http://schemas.openxmlformats.org/officeDocument/2006/relationships/hyperlink" Target="https://whiterosemaths.com/homelearning/year-6/spring-week-3-number-percentag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spring-week-4-number-percentages-2/" TargetMode="External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3</cp:revision>
  <cp:lastPrinted>2020-10-21T10:50:00Z</cp:lastPrinted>
  <dcterms:created xsi:type="dcterms:W3CDTF">2021-10-15T13:51:00Z</dcterms:created>
  <dcterms:modified xsi:type="dcterms:W3CDTF">2021-10-15T13:51:00Z</dcterms:modified>
</cp:coreProperties>
</file>