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DA7856">
              <w:t xml:space="preserve">interpret information on bar charts and line graphs. </w:t>
            </w:r>
            <w:r w:rsidR="00B46C37">
              <w:t xml:space="preserve"> </w:t>
            </w:r>
          </w:p>
          <w:p w:rsidR="00D44703" w:rsidRPr="008E0D58" w:rsidRDefault="00D44703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</w:pPr>
            <w:r w:rsidRPr="008E0D58">
              <w:t xml:space="preserve">Desired outcome: </w:t>
            </w:r>
            <w:r w:rsidR="00A65805">
              <w:t>To</w:t>
            </w:r>
            <w:r w:rsidR="00DA7856">
              <w:t xml:space="preserve"> read, understand and</w:t>
            </w:r>
            <w:r w:rsidR="00A65805">
              <w:t xml:space="preserve"> </w:t>
            </w:r>
            <w:r w:rsidR="00B46C37">
              <w:t xml:space="preserve">answer questions based </w:t>
            </w:r>
            <w:r w:rsidR="0031094B">
              <w:t>on</w:t>
            </w:r>
            <w:r w:rsidR="00DA7856">
              <w:t xml:space="preserve"> information presented on</w:t>
            </w:r>
            <w:r w:rsidR="0031094B">
              <w:t xml:space="preserve"> </w:t>
            </w:r>
            <w:r w:rsidR="00DA7856">
              <w:t>bar charts and line graphs.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Default="00F0296A" w:rsidP="002B67D3">
            <w:pPr>
              <w:pStyle w:val="NoSpacing"/>
              <w:rPr>
                <w:color w:val="000000"/>
              </w:rPr>
            </w:pPr>
            <w:r w:rsidRPr="008E0D58">
              <w:rPr>
                <w:color w:val="000000"/>
              </w:rPr>
              <w:t>Assessment activities to by submitted by</w:t>
            </w:r>
            <w:r w:rsidR="002B67D3">
              <w:rPr>
                <w:color w:val="000000"/>
              </w:rPr>
              <w:t xml:space="preserve">: Friday </w:t>
            </w:r>
            <w:r w:rsidR="00DA7856">
              <w:rPr>
                <w:color w:val="000000"/>
              </w:rPr>
              <w:t>9</w:t>
            </w:r>
            <w:r w:rsidR="00DA7856" w:rsidRPr="00DA7856">
              <w:rPr>
                <w:color w:val="000000"/>
                <w:vertAlign w:val="superscript"/>
              </w:rPr>
              <w:t>th</w:t>
            </w:r>
            <w:r w:rsidR="00DA7856">
              <w:rPr>
                <w:color w:val="000000"/>
              </w:rPr>
              <w:t xml:space="preserve"> </w:t>
            </w:r>
            <w:r w:rsidR="00A67833">
              <w:rPr>
                <w:color w:val="000000"/>
              </w:rPr>
              <w:t>July</w:t>
            </w:r>
            <w:r w:rsidR="002B67D3">
              <w:rPr>
                <w:color w:val="000000"/>
              </w:rPr>
              <w:t>, 2021</w:t>
            </w:r>
            <w:r w:rsidR="00A65805">
              <w:rPr>
                <w:color w:val="000000"/>
              </w:rPr>
              <w:t xml:space="preserve"> </w:t>
            </w:r>
          </w:p>
          <w:p w:rsidR="00D44703" w:rsidRPr="00184C33" w:rsidRDefault="00D44703" w:rsidP="00A6783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Complete the </w:t>
            </w:r>
            <w:proofErr w:type="spellStart"/>
            <w:r>
              <w:rPr>
                <w:color w:val="000000"/>
              </w:rPr>
              <w:t>Mymaths</w:t>
            </w:r>
            <w:proofErr w:type="spellEnd"/>
            <w:r>
              <w:rPr>
                <w:color w:val="000000"/>
              </w:rPr>
              <w:t xml:space="preserve"> activities</w:t>
            </w:r>
            <w:r w:rsidR="00A6783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B30EFE" w:rsidRDefault="00B30EFE" w:rsidP="00D1508A">
            <w:pPr>
              <w:pStyle w:val="NoSpacing"/>
              <w:rPr>
                <w:highlight w:val="white"/>
              </w:rPr>
            </w:pPr>
          </w:p>
          <w:p w:rsidR="00A67833" w:rsidRPr="00A67833" w:rsidRDefault="00A67833" w:rsidP="00D1508A">
            <w:pPr>
              <w:pStyle w:val="NoSpacing"/>
              <w:rPr>
                <w:color w:val="7030A0"/>
                <w:highlight w:val="white"/>
              </w:rPr>
            </w:pPr>
            <w:r w:rsidRPr="00A67833">
              <w:rPr>
                <w:color w:val="7030A0"/>
                <w:highlight w:val="white"/>
              </w:rPr>
              <w:t>Monday</w:t>
            </w:r>
          </w:p>
          <w:p w:rsidR="00A67833" w:rsidRPr="00A67833" w:rsidRDefault="00A67833" w:rsidP="00D1508A">
            <w:pPr>
              <w:pStyle w:val="NoSpacing"/>
              <w:rPr>
                <w:color w:val="7030A0"/>
                <w:highlight w:val="white"/>
              </w:rPr>
            </w:pPr>
          </w:p>
          <w:p w:rsidR="00A67833" w:rsidRPr="00A67833" w:rsidRDefault="000E4913" w:rsidP="00D1508A">
            <w:pPr>
              <w:pStyle w:val="NoSpacing"/>
              <w:rPr>
                <w:color w:val="7030A0"/>
                <w:highlight w:val="white"/>
              </w:rPr>
            </w:pPr>
            <w:r>
              <w:rPr>
                <w:color w:val="7030A0"/>
                <w:highlight w:val="white"/>
              </w:rPr>
              <w:t xml:space="preserve">WR - </w:t>
            </w:r>
            <w:r w:rsidR="00A67833" w:rsidRPr="00A67833">
              <w:rPr>
                <w:color w:val="7030A0"/>
                <w:highlight w:val="white"/>
              </w:rPr>
              <w:t>Read and interpret line graphs</w:t>
            </w:r>
            <w:r>
              <w:rPr>
                <w:color w:val="7030A0"/>
                <w:highlight w:val="white"/>
              </w:rPr>
              <w:t xml:space="preserve"> – make sure </w:t>
            </w:r>
            <w:proofErr w:type="spellStart"/>
            <w:r>
              <w:rPr>
                <w:color w:val="7030A0"/>
                <w:highlight w:val="white"/>
              </w:rPr>
              <w:t>ch</w:t>
            </w:r>
            <w:proofErr w:type="spellEnd"/>
            <w:r>
              <w:rPr>
                <w:color w:val="7030A0"/>
                <w:highlight w:val="white"/>
              </w:rPr>
              <w:t xml:space="preserve"> are identifying the x and y axis. Make sure they read the graph first and understand what each axis means so that they can know what the data is showing them. Finally make sure </w:t>
            </w:r>
            <w:proofErr w:type="spellStart"/>
            <w:r>
              <w:rPr>
                <w:color w:val="7030A0"/>
                <w:highlight w:val="white"/>
              </w:rPr>
              <w:t>ch</w:t>
            </w:r>
            <w:proofErr w:type="spellEnd"/>
            <w:r>
              <w:rPr>
                <w:color w:val="7030A0"/>
                <w:highlight w:val="white"/>
              </w:rPr>
              <w:t xml:space="preserve"> can match up data correctly from x and y axis on the graph. </w:t>
            </w:r>
          </w:p>
          <w:p w:rsidR="00A67833" w:rsidRDefault="00A67833" w:rsidP="00D1508A">
            <w:pPr>
              <w:pStyle w:val="NoSpacing"/>
              <w:rPr>
                <w:highlight w:val="white"/>
              </w:rPr>
            </w:pPr>
          </w:p>
          <w:p w:rsidR="00F47679" w:rsidRPr="00A67833" w:rsidRDefault="00D44703" w:rsidP="00D1508A">
            <w:pPr>
              <w:pStyle w:val="NoSpacing"/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>Watch the video</w:t>
            </w:r>
            <w:r w:rsidR="00F47679" w:rsidRPr="00A67833">
              <w:rPr>
                <w:color w:val="00B050"/>
                <w:highlight w:val="white"/>
              </w:rPr>
              <w:t xml:space="preserve"> via the links on:</w:t>
            </w:r>
          </w:p>
          <w:p w:rsidR="00F47679" w:rsidRPr="00A67833" w:rsidRDefault="00DA7856" w:rsidP="00F47679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>Bar charts</w:t>
            </w:r>
            <w:r w:rsidR="0031094B" w:rsidRPr="00A67833">
              <w:rPr>
                <w:color w:val="00B050"/>
                <w:highlight w:val="white"/>
              </w:rPr>
              <w:t xml:space="preserve">. </w:t>
            </w:r>
          </w:p>
          <w:p w:rsidR="00F14C4D" w:rsidRDefault="002708FC" w:rsidP="00F14C4D">
            <w:pPr>
              <w:pStyle w:val="NoSpacing"/>
              <w:ind w:left="720"/>
              <w:rPr>
                <w:rStyle w:val="Hyperlink"/>
                <w:color w:val="00B050"/>
                <w:highlight w:val="white"/>
              </w:rPr>
            </w:pPr>
            <w:hyperlink r:id="rId9" w:history="1">
              <w:r w:rsidR="00F14C4D" w:rsidRPr="00A67833">
                <w:rPr>
                  <w:rStyle w:val="Hyperlink"/>
                  <w:color w:val="00B050"/>
                  <w:highlight w:val="white"/>
                </w:rPr>
                <w:t>https://corbettmathsprimary.com/2018/06/01/bar-charts-video/</w:t>
              </w:r>
            </w:hyperlink>
          </w:p>
          <w:p w:rsidR="00AA4906" w:rsidRDefault="00AA4906" w:rsidP="00F14C4D">
            <w:pPr>
              <w:pStyle w:val="NoSpacing"/>
              <w:ind w:left="720"/>
              <w:rPr>
                <w:rStyle w:val="Hyperlink"/>
                <w:color w:val="00B050"/>
                <w:highlight w:val="white"/>
              </w:rPr>
            </w:pP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  <w:r w:rsidRPr="00AA4906">
              <w:rPr>
                <w:rStyle w:val="Hyperlink"/>
                <w:color w:val="00B050"/>
                <w:highlight w:val="white"/>
                <w:u w:val="none"/>
              </w:rPr>
              <w:t>AND/OR</w:t>
            </w: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</w:p>
          <w:p w:rsidR="00AA4906" w:rsidRPr="00AA4906" w:rsidRDefault="00AA4906" w:rsidP="00AA4906">
            <w:pPr>
              <w:pStyle w:val="NoSpacing"/>
              <w:numPr>
                <w:ilvl w:val="0"/>
                <w:numId w:val="22"/>
              </w:numPr>
              <w:rPr>
                <w:rStyle w:val="Hyperlink"/>
                <w:color w:val="00B050"/>
                <w:highlight w:val="white"/>
                <w:u w:val="none"/>
              </w:rPr>
            </w:pPr>
            <w:r w:rsidRPr="00AA4906">
              <w:rPr>
                <w:rStyle w:val="Hyperlink"/>
                <w:color w:val="00B050"/>
                <w:highlight w:val="white"/>
                <w:u w:val="none"/>
              </w:rPr>
              <w:t>Read and interpret line graphs</w:t>
            </w:r>
          </w:p>
          <w:p w:rsidR="00AA4906" w:rsidRPr="00AA4906" w:rsidRDefault="002708FC" w:rsidP="00AA4906">
            <w:pPr>
              <w:pStyle w:val="NoSpacing"/>
              <w:rPr>
                <w:color w:val="00B050"/>
              </w:rPr>
            </w:pPr>
            <w:hyperlink r:id="rId10" w:history="1">
              <w:r w:rsidR="00AA4906" w:rsidRPr="00AA4906">
                <w:rPr>
                  <w:rStyle w:val="Hyperlink"/>
                  <w:color w:val="00B050"/>
                </w:rPr>
                <w:t>https://whiterosemaths.com/homelearning/year-6/summer-week-1-statistics/</w:t>
              </w:r>
            </w:hyperlink>
          </w:p>
          <w:p w:rsidR="00AA4906" w:rsidRPr="00A67833" w:rsidRDefault="00AA4906" w:rsidP="00AA4906">
            <w:pPr>
              <w:pStyle w:val="NoSpacing"/>
              <w:rPr>
                <w:color w:val="00B050"/>
                <w:highlight w:val="white"/>
              </w:rPr>
            </w:pPr>
          </w:p>
          <w:p w:rsidR="00F14C4D" w:rsidRPr="00A67833" w:rsidRDefault="00F14C4D" w:rsidP="00F14C4D">
            <w:pPr>
              <w:pStyle w:val="NoSpacing"/>
              <w:ind w:left="720"/>
              <w:rPr>
                <w:color w:val="00B050"/>
                <w:highlight w:val="white"/>
              </w:rPr>
            </w:pPr>
          </w:p>
          <w:p w:rsidR="0031094B" w:rsidRPr="00A67833" w:rsidRDefault="0031094B" w:rsidP="0031094B">
            <w:pPr>
              <w:pStyle w:val="NoSpacing"/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 xml:space="preserve">Then go on to </w:t>
            </w:r>
            <w:proofErr w:type="spellStart"/>
            <w:r w:rsidRPr="00A67833">
              <w:rPr>
                <w:color w:val="00B050"/>
                <w:highlight w:val="white"/>
              </w:rPr>
              <w:t>Mymaths</w:t>
            </w:r>
            <w:proofErr w:type="spellEnd"/>
            <w:r w:rsidRPr="00A67833">
              <w:rPr>
                <w:color w:val="00B050"/>
                <w:highlight w:val="white"/>
              </w:rPr>
              <w:t xml:space="preserve"> and complete the activities on ‘</w:t>
            </w:r>
            <w:r w:rsidR="00DA7856" w:rsidRPr="00A67833">
              <w:rPr>
                <w:color w:val="00B050"/>
                <w:highlight w:val="white"/>
              </w:rPr>
              <w:t>Pictograms and bar charts</w:t>
            </w:r>
            <w:r w:rsidRPr="00A67833">
              <w:rPr>
                <w:color w:val="00B050"/>
                <w:highlight w:val="white"/>
              </w:rPr>
              <w:t>’</w:t>
            </w:r>
            <w:r w:rsidR="00DA7856" w:rsidRPr="00A67833">
              <w:rPr>
                <w:color w:val="00B050"/>
                <w:highlight w:val="white"/>
              </w:rPr>
              <w:t xml:space="preserve"> and ‘frequency tables and bar charts’</w:t>
            </w:r>
            <w:r w:rsidRPr="00A67833">
              <w:rPr>
                <w:color w:val="00B050"/>
                <w:highlight w:val="white"/>
              </w:rPr>
              <w:t xml:space="preserve">.  </w:t>
            </w:r>
          </w:p>
          <w:p w:rsidR="0031094B" w:rsidRDefault="003109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highlight w:val="white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B30EFE" w:rsidRDefault="00B30EFE" w:rsidP="00E801E2">
            <w:pPr>
              <w:pStyle w:val="NoSpacing"/>
              <w:rPr>
                <w:highlight w:val="white"/>
              </w:rPr>
            </w:pPr>
          </w:p>
          <w:p w:rsidR="00A67833" w:rsidRDefault="00A67833" w:rsidP="00E801E2">
            <w:pPr>
              <w:pStyle w:val="NoSpacing"/>
              <w:rPr>
                <w:color w:val="7030A0"/>
                <w:highlight w:val="white"/>
              </w:rPr>
            </w:pPr>
            <w:r>
              <w:rPr>
                <w:color w:val="7030A0"/>
                <w:highlight w:val="white"/>
              </w:rPr>
              <w:t>Tuesday</w:t>
            </w:r>
          </w:p>
          <w:p w:rsidR="00A67833" w:rsidRDefault="00A67833" w:rsidP="00E801E2">
            <w:pPr>
              <w:pStyle w:val="NoSpacing"/>
              <w:rPr>
                <w:color w:val="7030A0"/>
                <w:highlight w:val="white"/>
              </w:rPr>
            </w:pPr>
          </w:p>
          <w:p w:rsidR="00A67833" w:rsidRPr="00A67833" w:rsidRDefault="000E4913" w:rsidP="00E801E2">
            <w:pPr>
              <w:pStyle w:val="NoSpacing"/>
              <w:rPr>
                <w:color w:val="7030A0"/>
                <w:highlight w:val="white"/>
              </w:rPr>
            </w:pPr>
            <w:r>
              <w:rPr>
                <w:color w:val="7030A0"/>
                <w:highlight w:val="white"/>
              </w:rPr>
              <w:t xml:space="preserve">WR - </w:t>
            </w:r>
            <w:r w:rsidR="00A67833" w:rsidRPr="00A67833">
              <w:rPr>
                <w:color w:val="7030A0"/>
                <w:highlight w:val="white"/>
              </w:rPr>
              <w:t>Draw line graphs</w:t>
            </w:r>
            <w:r>
              <w:rPr>
                <w:color w:val="7030A0"/>
                <w:highlight w:val="white"/>
              </w:rPr>
              <w:t xml:space="preserve"> – make sure </w:t>
            </w:r>
            <w:proofErr w:type="spellStart"/>
            <w:r>
              <w:rPr>
                <w:color w:val="7030A0"/>
                <w:highlight w:val="white"/>
              </w:rPr>
              <w:t>ch</w:t>
            </w:r>
            <w:proofErr w:type="spellEnd"/>
            <w:r>
              <w:rPr>
                <w:color w:val="7030A0"/>
                <w:highlight w:val="white"/>
              </w:rPr>
              <w:t xml:space="preserve"> </w:t>
            </w:r>
            <w:r w:rsidR="00DD37AF">
              <w:rPr>
                <w:color w:val="7030A0"/>
                <w:highlight w:val="white"/>
              </w:rPr>
              <w:t xml:space="preserve">understand each process from the pp as it breaks it down really well for the </w:t>
            </w:r>
            <w:proofErr w:type="spellStart"/>
            <w:r w:rsidR="00DD37AF">
              <w:rPr>
                <w:color w:val="7030A0"/>
                <w:highlight w:val="white"/>
              </w:rPr>
              <w:t>ch</w:t>
            </w:r>
            <w:proofErr w:type="spellEnd"/>
            <w:r w:rsidR="00DD37AF">
              <w:rPr>
                <w:color w:val="7030A0"/>
                <w:highlight w:val="white"/>
              </w:rPr>
              <w:t xml:space="preserve"> to follow and importance of each stage too.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A67833" w:rsidRPr="00A67833" w:rsidRDefault="002708FC" w:rsidP="00A67833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Watch the video via the links </w:t>
            </w:r>
            <w:r w:rsidR="00A67833" w:rsidRPr="00A67833">
              <w:rPr>
                <w:color w:val="00B050"/>
                <w:highlight w:val="white"/>
              </w:rPr>
              <w:t>on:</w:t>
            </w:r>
          </w:p>
          <w:p w:rsidR="00A67833" w:rsidRPr="00A67833" w:rsidRDefault="00A67833" w:rsidP="00A67833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>Line graphs</w:t>
            </w:r>
          </w:p>
          <w:p w:rsidR="00A67833" w:rsidRPr="00A67833" w:rsidRDefault="002708FC" w:rsidP="00A67833">
            <w:pPr>
              <w:pStyle w:val="NoSpacing"/>
              <w:ind w:left="720"/>
              <w:rPr>
                <w:color w:val="00B050"/>
                <w:highlight w:val="white"/>
              </w:rPr>
            </w:pPr>
            <w:hyperlink r:id="rId11" w:history="1">
              <w:r w:rsidR="00A67833" w:rsidRPr="00A67833">
                <w:rPr>
                  <w:rStyle w:val="Hyperlink"/>
                  <w:color w:val="00B050"/>
                  <w:highlight w:val="white"/>
                </w:rPr>
                <w:t>https://corbettmathsprimary.com/2018/07/19/line-graphs-video/</w:t>
              </w:r>
            </w:hyperlink>
          </w:p>
          <w:p w:rsidR="00A67833" w:rsidRDefault="00A67833" w:rsidP="00AA4906">
            <w:pPr>
              <w:pStyle w:val="NoSpacing"/>
              <w:rPr>
                <w:color w:val="00B050"/>
                <w:highlight w:val="white"/>
              </w:rPr>
            </w:pP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  <w:r w:rsidRPr="00AA4906">
              <w:rPr>
                <w:rStyle w:val="Hyperlink"/>
                <w:color w:val="00B050"/>
                <w:highlight w:val="white"/>
                <w:u w:val="none"/>
              </w:rPr>
              <w:t>AND/OR</w:t>
            </w: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</w:p>
          <w:p w:rsidR="00AA4906" w:rsidRPr="00AA4906" w:rsidRDefault="00AA4906" w:rsidP="00AA4906">
            <w:pPr>
              <w:pStyle w:val="NoSpacing"/>
              <w:numPr>
                <w:ilvl w:val="0"/>
                <w:numId w:val="22"/>
              </w:numPr>
              <w:rPr>
                <w:rStyle w:val="Hyperlink"/>
                <w:color w:val="00B050"/>
                <w:highlight w:val="white"/>
                <w:u w:val="none"/>
              </w:rPr>
            </w:pPr>
            <w:r>
              <w:rPr>
                <w:rStyle w:val="Hyperlink"/>
                <w:color w:val="00B050"/>
                <w:highlight w:val="white"/>
                <w:u w:val="none"/>
              </w:rPr>
              <w:t>Draw line graphs</w:t>
            </w:r>
          </w:p>
          <w:p w:rsidR="00AA4906" w:rsidRPr="00AA4906" w:rsidRDefault="002708FC" w:rsidP="00AA4906">
            <w:pPr>
              <w:pStyle w:val="NoSpacing"/>
              <w:rPr>
                <w:color w:val="00B050"/>
              </w:rPr>
            </w:pPr>
            <w:hyperlink r:id="rId12" w:history="1">
              <w:r w:rsidR="00AA4906" w:rsidRPr="00AA4906">
                <w:rPr>
                  <w:rStyle w:val="Hyperlink"/>
                  <w:color w:val="00B050"/>
                </w:rPr>
                <w:t>https://whiterosemaths.com/homelearning/year-6/summer-week-1-statistics/</w:t>
              </w:r>
            </w:hyperlink>
          </w:p>
          <w:p w:rsidR="00AA4906" w:rsidRPr="00A67833" w:rsidRDefault="00AA4906" w:rsidP="00AA4906">
            <w:pPr>
              <w:pStyle w:val="NoSpacing"/>
              <w:rPr>
                <w:color w:val="00B050"/>
                <w:highlight w:val="white"/>
              </w:rPr>
            </w:pPr>
          </w:p>
          <w:p w:rsidR="00A67833" w:rsidRPr="00A67833" w:rsidRDefault="00A67833" w:rsidP="00A67833">
            <w:pPr>
              <w:pStyle w:val="NoSpacing"/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 xml:space="preserve">Then go on to </w:t>
            </w:r>
            <w:proofErr w:type="spellStart"/>
            <w:r w:rsidRPr="00A67833">
              <w:rPr>
                <w:color w:val="00B050"/>
                <w:highlight w:val="white"/>
              </w:rPr>
              <w:t>Mymaths</w:t>
            </w:r>
            <w:proofErr w:type="spellEnd"/>
            <w:r w:rsidRPr="00A67833">
              <w:rPr>
                <w:color w:val="00B050"/>
                <w:highlight w:val="white"/>
              </w:rPr>
              <w:t xml:space="preserve"> and complete </w:t>
            </w:r>
            <w:r>
              <w:rPr>
                <w:color w:val="00B050"/>
                <w:highlight w:val="white"/>
              </w:rPr>
              <w:t>the activity on ‘Line graphs’.</w:t>
            </w:r>
            <w:r w:rsidRPr="00A67833">
              <w:rPr>
                <w:color w:val="00B050"/>
                <w:highlight w:val="white"/>
              </w:rPr>
              <w:t xml:space="preserve"> </w:t>
            </w:r>
          </w:p>
          <w:p w:rsidR="00A67833" w:rsidRPr="00D1508A" w:rsidRDefault="00A67833" w:rsidP="00E801E2">
            <w:pPr>
              <w:pStyle w:val="NoSpacing"/>
              <w:rPr>
                <w:highlight w:val="white"/>
              </w:rPr>
            </w:pPr>
          </w:p>
          <w:p w:rsidR="00F26F7A" w:rsidRDefault="00F26F7A" w:rsidP="007A3C39">
            <w:pPr>
              <w:pStyle w:val="NoSpacing"/>
              <w:rPr>
                <w:rFonts w:cs="Arial"/>
                <w:u w:val="singl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A67833" w:rsidRDefault="00A67833" w:rsidP="00A67833">
            <w:pPr>
              <w:pStyle w:val="NoSpacing"/>
              <w:rPr>
                <w:color w:val="7030A0"/>
                <w:highlight w:val="white"/>
              </w:rPr>
            </w:pPr>
            <w:r>
              <w:rPr>
                <w:color w:val="7030A0"/>
                <w:highlight w:val="white"/>
              </w:rPr>
              <w:t>Wednesday</w:t>
            </w:r>
          </w:p>
          <w:p w:rsidR="00A67833" w:rsidRDefault="00A67833" w:rsidP="00A67833">
            <w:pPr>
              <w:pStyle w:val="NoSpacing"/>
              <w:rPr>
                <w:color w:val="7030A0"/>
                <w:highlight w:val="white"/>
              </w:rPr>
            </w:pPr>
          </w:p>
          <w:p w:rsidR="00A67833" w:rsidRPr="00A67833" w:rsidRDefault="00DD37AF" w:rsidP="00A67833">
            <w:pPr>
              <w:pStyle w:val="NoSpacing"/>
              <w:rPr>
                <w:color w:val="7030A0"/>
                <w:highlight w:val="white"/>
              </w:rPr>
            </w:pPr>
            <w:r>
              <w:rPr>
                <w:color w:val="7030A0"/>
                <w:highlight w:val="white"/>
              </w:rPr>
              <w:t xml:space="preserve">WR - </w:t>
            </w:r>
            <w:r w:rsidR="00A67833">
              <w:rPr>
                <w:color w:val="7030A0"/>
                <w:highlight w:val="white"/>
              </w:rPr>
              <w:t>Use line graphs to solve problems</w:t>
            </w:r>
            <w:r>
              <w:rPr>
                <w:color w:val="7030A0"/>
                <w:highlight w:val="white"/>
              </w:rPr>
              <w:t xml:space="preserve"> – make sure </w:t>
            </w:r>
            <w:proofErr w:type="spellStart"/>
            <w:r>
              <w:rPr>
                <w:color w:val="7030A0"/>
                <w:highlight w:val="white"/>
              </w:rPr>
              <w:t>ch</w:t>
            </w:r>
            <w:proofErr w:type="spellEnd"/>
            <w:r>
              <w:rPr>
                <w:color w:val="7030A0"/>
                <w:highlight w:val="white"/>
              </w:rPr>
              <w:t xml:space="preserve"> are reading the graphs carefully and understand the data first. </w:t>
            </w:r>
          </w:p>
          <w:p w:rsidR="00A67833" w:rsidRDefault="00A67833" w:rsidP="007A3C39">
            <w:pPr>
              <w:pStyle w:val="NoSpacing"/>
              <w:rPr>
                <w:rFonts w:cs="Arial"/>
              </w:rPr>
            </w:pPr>
          </w:p>
          <w:p w:rsidR="00A67833" w:rsidRPr="00A06DCD" w:rsidRDefault="00A06DCD" w:rsidP="007A3C39">
            <w:pPr>
              <w:pStyle w:val="NoSpacing"/>
              <w:rPr>
                <w:rFonts w:cs="Arial"/>
                <w:color w:val="7030A0"/>
              </w:rPr>
            </w:pPr>
            <w:r w:rsidRPr="00A06DCD">
              <w:rPr>
                <w:rFonts w:cs="Arial"/>
                <w:color w:val="7030A0"/>
              </w:rPr>
              <w:t>Extension – bar charts and line graphs documents</w:t>
            </w:r>
          </w:p>
          <w:p w:rsidR="00A67833" w:rsidRDefault="00A67833" w:rsidP="007A3C39">
            <w:pPr>
              <w:pStyle w:val="NoSpacing"/>
              <w:rPr>
                <w:rFonts w:cs="Arial"/>
              </w:rPr>
            </w:pPr>
          </w:p>
          <w:p w:rsidR="0031094B" w:rsidRPr="00A67833" w:rsidRDefault="002708FC" w:rsidP="0031094B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Watch the video via the links </w:t>
            </w:r>
            <w:r w:rsidR="0031094B" w:rsidRPr="00A67833">
              <w:rPr>
                <w:color w:val="00B050"/>
                <w:highlight w:val="white"/>
              </w:rPr>
              <w:t>on:</w:t>
            </w:r>
          </w:p>
          <w:p w:rsidR="0031094B" w:rsidRPr="00A67833" w:rsidRDefault="00DA7856" w:rsidP="0031094B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>Line graphs</w:t>
            </w:r>
          </w:p>
          <w:p w:rsidR="00F14C4D" w:rsidRPr="00A67833" w:rsidRDefault="002708FC" w:rsidP="00F14C4D">
            <w:pPr>
              <w:pStyle w:val="NoSpacing"/>
              <w:ind w:left="720"/>
              <w:rPr>
                <w:color w:val="00B050"/>
                <w:highlight w:val="white"/>
              </w:rPr>
            </w:pPr>
            <w:hyperlink r:id="rId13" w:history="1">
              <w:r w:rsidR="00F14C4D" w:rsidRPr="00A67833">
                <w:rPr>
                  <w:rStyle w:val="Hyperlink"/>
                  <w:color w:val="00B050"/>
                  <w:highlight w:val="white"/>
                </w:rPr>
                <w:t>https://corbettmathsprimary.com/2018/07/19/line-graphs-video/</w:t>
              </w:r>
            </w:hyperlink>
          </w:p>
          <w:p w:rsidR="00F14C4D" w:rsidRDefault="00F14C4D" w:rsidP="00AA4906">
            <w:pPr>
              <w:pStyle w:val="NoSpacing"/>
              <w:rPr>
                <w:color w:val="00B050"/>
                <w:highlight w:val="white"/>
              </w:rPr>
            </w:pP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  <w:r w:rsidRPr="00AA4906">
              <w:rPr>
                <w:rStyle w:val="Hyperlink"/>
                <w:color w:val="00B050"/>
                <w:highlight w:val="white"/>
                <w:u w:val="none"/>
              </w:rPr>
              <w:t>AND/OR</w:t>
            </w: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</w:p>
          <w:p w:rsidR="00AA4906" w:rsidRPr="00AA4906" w:rsidRDefault="00AA4906" w:rsidP="00AA4906">
            <w:pPr>
              <w:pStyle w:val="NoSpacing"/>
              <w:numPr>
                <w:ilvl w:val="0"/>
                <w:numId w:val="22"/>
              </w:numPr>
              <w:rPr>
                <w:rStyle w:val="Hyperlink"/>
                <w:color w:val="00B050"/>
                <w:highlight w:val="white"/>
                <w:u w:val="none"/>
              </w:rPr>
            </w:pPr>
            <w:r>
              <w:rPr>
                <w:rStyle w:val="Hyperlink"/>
                <w:color w:val="00B050"/>
                <w:highlight w:val="white"/>
                <w:u w:val="none"/>
              </w:rPr>
              <w:t xml:space="preserve">Use line graphs to solve problems </w:t>
            </w:r>
          </w:p>
          <w:p w:rsidR="00AA4906" w:rsidRPr="00AA4906" w:rsidRDefault="002708FC" w:rsidP="00AA4906">
            <w:pPr>
              <w:pStyle w:val="NoSpacing"/>
              <w:rPr>
                <w:color w:val="00B050"/>
              </w:rPr>
            </w:pPr>
            <w:hyperlink r:id="rId14" w:history="1">
              <w:r w:rsidR="00AA4906" w:rsidRPr="00AA4906">
                <w:rPr>
                  <w:rStyle w:val="Hyperlink"/>
                  <w:color w:val="00B050"/>
                </w:rPr>
                <w:t>https://whiterosemaths.com/homelearning/year-6/summer-week-1-statistics/</w:t>
              </w:r>
            </w:hyperlink>
          </w:p>
          <w:p w:rsidR="00AA4906" w:rsidRPr="00A67833" w:rsidRDefault="00AA4906" w:rsidP="00AA4906">
            <w:pPr>
              <w:pStyle w:val="NoSpacing"/>
              <w:rPr>
                <w:color w:val="00B050"/>
                <w:highlight w:val="white"/>
              </w:rPr>
            </w:pPr>
          </w:p>
          <w:p w:rsidR="00DA7856" w:rsidRPr="00A67833" w:rsidRDefault="00DA7856" w:rsidP="00DA7856">
            <w:pPr>
              <w:pStyle w:val="NoSpacing"/>
              <w:rPr>
                <w:color w:val="00B050"/>
                <w:highlight w:val="white"/>
              </w:rPr>
            </w:pPr>
            <w:r w:rsidRPr="00A67833">
              <w:rPr>
                <w:color w:val="00B050"/>
                <w:highlight w:val="white"/>
              </w:rPr>
              <w:t xml:space="preserve">Then go on to </w:t>
            </w:r>
            <w:proofErr w:type="spellStart"/>
            <w:r w:rsidRPr="00A67833">
              <w:rPr>
                <w:color w:val="00B050"/>
                <w:highlight w:val="white"/>
              </w:rPr>
              <w:t>Mymaths</w:t>
            </w:r>
            <w:proofErr w:type="spellEnd"/>
            <w:r w:rsidRPr="00A67833">
              <w:rPr>
                <w:color w:val="00B050"/>
                <w:highlight w:val="white"/>
              </w:rPr>
              <w:t xml:space="preserve"> and complete </w:t>
            </w:r>
            <w:r w:rsidR="00AA4906">
              <w:rPr>
                <w:color w:val="00B050"/>
                <w:highlight w:val="white"/>
              </w:rPr>
              <w:t>the activities on</w:t>
            </w:r>
            <w:r w:rsidRPr="00A67833">
              <w:rPr>
                <w:color w:val="00B050"/>
                <w:highlight w:val="white"/>
              </w:rPr>
              <w:t xml:space="preserve"> ‘Line graphs and two-way tables’ and ‘misleading graphs’.  </w:t>
            </w:r>
          </w:p>
          <w:p w:rsidR="00F47679" w:rsidRDefault="00F47679" w:rsidP="007A3C39">
            <w:pPr>
              <w:pStyle w:val="NoSpacing"/>
              <w:rPr>
                <w:rFonts w:cs="Arial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30EFE" w:rsidRDefault="00B30EFE" w:rsidP="002B3C1F">
            <w:pPr>
              <w:pStyle w:val="NoSpacing"/>
              <w:rPr>
                <w:rFonts w:cs="Arial"/>
              </w:rPr>
            </w:pPr>
          </w:p>
          <w:p w:rsidR="00DD37AF" w:rsidRPr="00DD37AF" w:rsidRDefault="00DD37AF" w:rsidP="002B3C1F">
            <w:pPr>
              <w:pStyle w:val="NoSpacing"/>
              <w:rPr>
                <w:rFonts w:cs="Arial"/>
                <w:color w:val="7030A0"/>
              </w:rPr>
            </w:pPr>
            <w:r w:rsidRPr="00DD37AF">
              <w:rPr>
                <w:rFonts w:cs="Arial"/>
                <w:color w:val="7030A0"/>
              </w:rPr>
              <w:t>Thursday</w:t>
            </w:r>
          </w:p>
          <w:p w:rsidR="00DD37AF" w:rsidRPr="00DD37AF" w:rsidRDefault="00DD37AF" w:rsidP="002B3C1F">
            <w:pPr>
              <w:pStyle w:val="NoSpacing"/>
              <w:rPr>
                <w:rFonts w:cs="Arial"/>
                <w:color w:val="7030A0"/>
              </w:rPr>
            </w:pPr>
          </w:p>
          <w:p w:rsidR="00AA4906" w:rsidRPr="00DD37AF" w:rsidRDefault="00DD37AF" w:rsidP="002B3C1F">
            <w:pPr>
              <w:pStyle w:val="NoSpacing"/>
              <w:rPr>
                <w:rFonts w:cs="Arial"/>
                <w:color w:val="7030A0"/>
              </w:rPr>
            </w:pPr>
            <w:r w:rsidRPr="00DD37AF">
              <w:rPr>
                <w:rFonts w:cs="Arial"/>
                <w:color w:val="7030A0"/>
              </w:rPr>
              <w:t xml:space="preserve">WR – </w:t>
            </w:r>
            <w:r w:rsidR="00AA4906" w:rsidRPr="00DD37AF">
              <w:rPr>
                <w:rFonts w:cs="Arial"/>
                <w:color w:val="7030A0"/>
              </w:rPr>
              <w:t>Circles</w:t>
            </w:r>
            <w:r w:rsidRPr="00DD37AF">
              <w:rPr>
                <w:rFonts w:cs="Arial"/>
                <w:color w:val="7030A0"/>
              </w:rPr>
              <w:t xml:space="preserve"> – make sure can identify the parts of a circle and how to calculate r and d and relationship between. </w:t>
            </w:r>
          </w:p>
          <w:p w:rsidR="00DD37AF" w:rsidRPr="00DD37AF" w:rsidRDefault="00DD37AF" w:rsidP="002B3C1F">
            <w:pPr>
              <w:pStyle w:val="NoSpacing"/>
              <w:rPr>
                <w:rFonts w:cs="Arial"/>
                <w:color w:val="7030A0"/>
              </w:rPr>
            </w:pPr>
          </w:p>
          <w:p w:rsidR="00DD37AF" w:rsidRDefault="00DD37AF" w:rsidP="002B3C1F">
            <w:pPr>
              <w:pStyle w:val="NoSpacing"/>
              <w:rPr>
                <w:rFonts w:cs="Arial"/>
                <w:color w:val="7030A0"/>
              </w:rPr>
            </w:pPr>
            <w:r w:rsidRPr="00DD37AF">
              <w:rPr>
                <w:rFonts w:cs="Arial"/>
                <w:color w:val="7030A0"/>
              </w:rPr>
              <w:t>Extension – show how to find the circumference of a circle by 2𝝅r and if time 𝝅r</w:t>
            </w:r>
            <w:r w:rsidRPr="00DD37AF">
              <w:rPr>
                <w:rFonts w:cs="Arial"/>
                <w:color w:val="7030A0"/>
                <w:vertAlign w:val="superscript"/>
              </w:rPr>
              <w:t>2</w:t>
            </w:r>
            <w:r w:rsidRPr="00DD37AF">
              <w:rPr>
                <w:rFonts w:cs="Arial"/>
                <w:color w:val="7030A0"/>
              </w:rPr>
              <w:t xml:space="preserve"> </w:t>
            </w:r>
          </w:p>
          <w:p w:rsidR="00A06DCD" w:rsidRDefault="00A06DCD" w:rsidP="002B3C1F">
            <w:pPr>
              <w:pStyle w:val="NoSpacing"/>
              <w:rPr>
                <w:rFonts w:cs="Arial"/>
                <w:color w:val="7030A0"/>
              </w:rPr>
            </w:pPr>
            <w:proofErr w:type="spellStart"/>
            <w:r>
              <w:rPr>
                <w:rFonts w:cs="Arial"/>
                <w:color w:val="7030A0"/>
              </w:rPr>
              <w:t>Ch</w:t>
            </w:r>
            <w:proofErr w:type="spellEnd"/>
            <w:r>
              <w:rPr>
                <w:rFonts w:cs="Arial"/>
                <w:color w:val="7030A0"/>
              </w:rPr>
              <w:t xml:space="preserve"> complete the Circumference, diameter and radius document</w:t>
            </w:r>
          </w:p>
          <w:p w:rsidR="00A06DCD" w:rsidRDefault="00A06DCD" w:rsidP="002B3C1F">
            <w:pPr>
              <w:pStyle w:val="NoSpacing"/>
              <w:rPr>
                <w:rFonts w:cs="Arial"/>
                <w:color w:val="7030A0"/>
              </w:rPr>
            </w:pPr>
          </w:p>
          <w:p w:rsidR="00A06DCD" w:rsidRDefault="00A06DCD" w:rsidP="002B3C1F">
            <w:pPr>
              <w:pStyle w:val="NoSpacing"/>
              <w:rPr>
                <w:rFonts w:cs="Arial"/>
                <w:color w:val="7030A0"/>
              </w:rPr>
            </w:pPr>
            <w:r>
              <w:rPr>
                <w:rFonts w:cs="Arial"/>
                <w:color w:val="7030A0"/>
              </w:rPr>
              <w:t>If finished complete document below</w:t>
            </w:r>
          </w:p>
          <w:p w:rsidR="00A06DCD" w:rsidRDefault="00A06DCD" w:rsidP="002B3C1F">
            <w:pPr>
              <w:pStyle w:val="NoSpacing"/>
              <w:rPr>
                <w:rFonts w:cs="Arial"/>
                <w:color w:val="7030A0"/>
              </w:rPr>
            </w:pPr>
          </w:p>
          <w:p w:rsidR="00A06DCD" w:rsidRPr="00DD37AF" w:rsidRDefault="00A06DCD" w:rsidP="002B3C1F">
            <w:pPr>
              <w:pStyle w:val="NoSpacing"/>
              <w:rPr>
                <w:rFonts w:cs="Arial"/>
                <w:color w:val="7030A0"/>
                <w:vertAlign w:val="superscript"/>
              </w:rPr>
            </w:pPr>
            <w:r>
              <w:rPr>
                <w:rFonts w:cs="Arial"/>
                <w:color w:val="7030A0"/>
              </w:rPr>
              <w:t>Test base questions on circles</w:t>
            </w:r>
          </w:p>
          <w:p w:rsidR="00AA4906" w:rsidRDefault="00AA4906" w:rsidP="002B3C1F">
            <w:pPr>
              <w:pStyle w:val="NoSpacing"/>
              <w:rPr>
                <w:rFonts w:cs="Arial"/>
              </w:rPr>
            </w:pPr>
          </w:p>
          <w:p w:rsidR="00AA4906" w:rsidRDefault="00AA4906" w:rsidP="002B3C1F">
            <w:pPr>
              <w:pStyle w:val="NoSpacing"/>
              <w:rPr>
                <w:rFonts w:cs="Arial"/>
              </w:rPr>
            </w:pPr>
          </w:p>
          <w:p w:rsidR="00AA4906" w:rsidRPr="00AA4906" w:rsidRDefault="00AA4906" w:rsidP="00AA4906">
            <w:pPr>
              <w:pStyle w:val="NoSpacing"/>
              <w:rPr>
                <w:color w:val="00B050"/>
                <w:highlight w:val="white"/>
              </w:rPr>
            </w:pPr>
            <w:r w:rsidRPr="00AA4906">
              <w:rPr>
                <w:color w:val="00B050"/>
                <w:highlight w:val="white"/>
              </w:rPr>
              <w:t>Watch the video v</w:t>
            </w:r>
            <w:r w:rsidR="002708FC">
              <w:rPr>
                <w:color w:val="00B050"/>
                <w:highlight w:val="white"/>
              </w:rPr>
              <w:t>ia the links</w:t>
            </w:r>
            <w:r w:rsidRPr="00AA4906">
              <w:rPr>
                <w:color w:val="00B050"/>
                <w:highlight w:val="white"/>
              </w:rPr>
              <w:t xml:space="preserve"> on:</w:t>
            </w:r>
          </w:p>
          <w:p w:rsidR="00AA4906" w:rsidRPr="00AA4906" w:rsidRDefault="00AA4906" w:rsidP="00AA4906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AA4906">
              <w:rPr>
                <w:color w:val="00B050"/>
                <w:highlight w:val="white"/>
              </w:rPr>
              <w:t xml:space="preserve">Part of a circle. </w:t>
            </w:r>
          </w:p>
          <w:p w:rsidR="00AA4906" w:rsidRPr="00AA4906" w:rsidRDefault="00AA4906" w:rsidP="00AA4906">
            <w:pPr>
              <w:pStyle w:val="NoSpacing"/>
              <w:rPr>
                <w:color w:val="00B050"/>
                <w:highlight w:val="white"/>
              </w:rPr>
            </w:pPr>
            <w:r w:rsidRPr="00AA4906">
              <w:rPr>
                <w:color w:val="00B050"/>
                <w:highlight w:val="white"/>
              </w:rPr>
              <w:t>Complete questions on the next slides.</w:t>
            </w:r>
          </w:p>
          <w:p w:rsidR="00AA4906" w:rsidRDefault="00AA4906" w:rsidP="002B3C1F">
            <w:pPr>
              <w:pStyle w:val="NoSpacing"/>
              <w:rPr>
                <w:rFonts w:cs="Arial"/>
              </w:rPr>
            </w:pP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  <w:r w:rsidRPr="00AA4906">
              <w:rPr>
                <w:rStyle w:val="Hyperlink"/>
                <w:color w:val="00B050"/>
                <w:highlight w:val="white"/>
                <w:u w:val="none"/>
              </w:rPr>
              <w:t>AND/OR</w:t>
            </w:r>
          </w:p>
          <w:p w:rsidR="00AA4906" w:rsidRPr="00AA4906" w:rsidRDefault="00AA4906" w:rsidP="00AA4906">
            <w:pPr>
              <w:pStyle w:val="NoSpacing"/>
              <w:rPr>
                <w:rStyle w:val="Hyperlink"/>
                <w:color w:val="00B050"/>
                <w:highlight w:val="white"/>
                <w:u w:val="none"/>
              </w:rPr>
            </w:pPr>
          </w:p>
          <w:p w:rsidR="00AA4906" w:rsidRPr="00AA4906" w:rsidRDefault="00AA4906" w:rsidP="00AA4906">
            <w:pPr>
              <w:pStyle w:val="NoSpacing"/>
              <w:numPr>
                <w:ilvl w:val="0"/>
                <w:numId w:val="22"/>
              </w:numPr>
              <w:rPr>
                <w:rStyle w:val="Hyperlink"/>
                <w:color w:val="00B050"/>
                <w:highlight w:val="white"/>
                <w:u w:val="none"/>
              </w:rPr>
            </w:pPr>
            <w:r>
              <w:rPr>
                <w:rStyle w:val="Hyperlink"/>
                <w:color w:val="00B050"/>
                <w:highlight w:val="white"/>
                <w:u w:val="none"/>
              </w:rPr>
              <w:t>circles</w:t>
            </w:r>
          </w:p>
          <w:p w:rsidR="00AA4906" w:rsidRPr="00AA4906" w:rsidRDefault="002708FC" w:rsidP="00AA4906">
            <w:pPr>
              <w:pStyle w:val="NoSpacing"/>
              <w:rPr>
                <w:color w:val="00B050"/>
              </w:rPr>
            </w:pPr>
            <w:hyperlink r:id="rId15" w:history="1">
              <w:r w:rsidR="00AA4906" w:rsidRPr="00AA4906">
                <w:rPr>
                  <w:rStyle w:val="Hyperlink"/>
                  <w:color w:val="00B050"/>
                </w:rPr>
                <w:t>https://whiterosemaths.com/homelearning/year-6/summer-week-1-statistics/</w:t>
              </w:r>
            </w:hyperlink>
          </w:p>
          <w:p w:rsidR="00AA4906" w:rsidRDefault="00AA4906" w:rsidP="002B3C1F">
            <w:pPr>
              <w:pStyle w:val="NoSpacing"/>
              <w:rPr>
                <w:rFonts w:cs="Arial"/>
              </w:rPr>
            </w:pPr>
          </w:p>
          <w:p w:rsidR="00AA4906" w:rsidRPr="00AA4906" w:rsidRDefault="00AA4906" w:rsidP="00AA4906">
            <w:pPr>
              <w:pStyle w:val="NoSpacing"/>
              <w:rPr>
                <w:color w:val="00B050"/>
                <w:highlight w:val="white"/>
              </w:rPr>
            </w:pPr>
            <w:r w:rsidRPr="00AA4906">
              <w:rPr>
                <w:color w:val="00B050"/>
                <w:highlight w:val="white"/>
              </w:rPr>
              <w:t xml:space="preserve">Then go on to </w:t>
            </w:r>
            <w:proofErr w:type="spellStart"/>
            <w:r w:rsidRPr="00AA4906">
              <w:rPr>
                <w:color w:val="00B050"/>
                <w:highlight w:val="white"/>
              </w:rPr>
              <w:t>Mymaths</w:t>
            </w:r>
            <w:proofErr w:type="spellEnd"/>
            <w:r w:rsidRPr="00AA4906">
              <w:rPr>
                <w:color w:val="00B050"/>
                <w:highlight w:val="white"/>
              </w:rPr>
              <w:t xml:space="preserve"> and complete the activities on ‘parts of a circle’.  </w:t>
            </w:r>
          </w:p>
          <w:p w:rsidR="0031094B" w:rsidRPr="007A3C39" w:rsidRDefault="0031094B" w:rsidP="00D44703">
            <w:pPr>
              <w:pStyle w:val="NoSpacing"/>
              <w:rPr>
                <w:rFonts w:cs="Arial"/>
              </w:rPr>
            </w:pPr>
          </w:p>
          <w:p w:rsidR="00B30EFE" w:rsidRDefault="00AD68F4" w:rsidP="00C16F74">
            <w:pPr>
              <w:pStyle w:val="NoSpacing"/>
              <w:ind w:left="36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 w:rsidRPr="00C16F74">
              <w:rPr>
                <w:rFonts w:cs="Arial"/>
                <w:u w:val="single"/>
              </w:rPr>
              <w:t>on Five</w:t>
            </w:r>
            <w:r w:rsidR="00F0296A">
              <w:rPr>
                <w:rFonts w:cs="Arial"/>
              </w:rPr>
              <w:t>:</w:t>
            </w:r>
          </w:p>
          <w:p w:rsidR="00F0296A" w:rsidRDefault="00AD68F4" w:rsidP="00C16F74">
            <w:pPr>
              <w:pStyle w:val="NoSpacing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0E4913" w:rsidRPr="00DD37AF" w:rsidRDefault="000E4913" w:rsidP="00D44703">
            <w:pPr>
              <w:pStyle w:val="NoSpacing"/>
              <w:rPr>
                <w:color w:val="7030A0"/>
                <w:highlight w:val="white"/>
              </w:rPr>
            </w:pPr>
            <w:r w:rsidRPr="00DD37AF">
              <w:rPr>
                <w:color w:val="7030A0"/>
                <w:highlight w:val="white"/>
              </w:rPr>
              <w:t xml:space="preserve">Friday </w:t>
            </w:r>
          </w:p>
          <w:p w:rsidR="000E4913" w:rsidRPr="00DD37AF" w:rsidRDefault="000E4913" w:rsidP="00D44703">
            <w:pPr>
              <w:pStyle w:val="NoSpacing"/>
              <w:rPr>
                <w:color w:val="7030A0"/>
                <w:highlight w:val="white"/>
              </w:rPr>
            </w:pPr>
          </w:p>
          <w:p w:rsidR="00DD37AF" w:rsidRPr="00DD37AF" w:rsidRDefault="00DD37AF" w:rsidP="00D44703">
            <w:pPr>
              <w:pStyle w:val="NoSpacing"/>
              <w:rPr>
                <w:color w:val="7030A0"/>
                <w:highlight w:val="white"/>
              </w:rPr>
            </w:pPr>
            <w:r w:rsidRPr="00DD37AF">
              <w:rPr>
                <w:color w:val="7030A0"/>
                <w:highlight w:val="white"/>
              </w:rPr>
              <w:t xml:space="preserve">WR – ‘The mean activity’ and ‘The mean’ </w:t>
            </w:r>
            <w:r>
              <w:rPr>
                <w:color w:val="7030A0"/>
                <w:highlight w:val="white"/>
              </w:rPr>
              <w:t>–</w:t>
            </w:r>
            <w:r w:rsidRPr="00DD37AF">
              <w:rPr>
                <w:color w:val="7030A0"/>
                <w:highlight w:val="white"/>
              </w:rPr>
              <w:t xml:space="preserve"> </w:t>
            </w:r>
            <w:proofErr w:type="spellStart"/>
            <w:r>
              <w:rPr>
                <w:color w:val="7030A0"/>
                <w:highlight w:val="white"/>
              </w:rPr>
              <w:t>ch</w:t>
            </w:r>
            <w:proofErr w:type="spellEnd"/>
            <w:r>
              <w:rPr>
                <w:color w:val="7030A0"/>
                <w:highlight w:val="white"/>
              </w:rPr>
              <w:t xml:space="preserve"> to identify that sharing the amounts can be done equally to find the mean/average (The mean activity) then show ‘the mean’ as it shows </w:t>
            </w:r>
            <w:proofErr w:type="spellStart"/>
            <w:r>
              <w:rPr>
                <w:color w:val="7030A0"/>
                <w:highlight w:val="white"/>
              </w:rPr>
              <w:t>calc</w:t>
            </w:r>
            <w:proofErr w:type="spellEnd"/>
            <w:r>
              <w:rPr>
                <w:color w:val="7030A0"/>
                <w:highlight w:val="white"/>
              </w:rPr>
              <w:t xml:space="preserve"> method.   </w:t>
            </w:r>
          </w:p>
          <w:p w:rsidR="00DD37AF" w:rsidRPr="000E4913" w:rsidRDefault="00DD37AF" w:rsidP="00D44703">
            <w:pPr>
              <w:pStyle w:val="NoSpacing"/>
              <w:rPr>
                <w:color w:val="00B050"/>
                <w:highlight w:val="white"/>
              </w:rPr>
            </w:pPr>
          </w:p>
          <w:p w:rsidR="000E4913" w:rsidRPr="000E4913" w:rsidRDefault="002708FC" w:rsidP="000E4913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Watch the video via the links </w:t>
            </w:r>
            <w:bookmarkStart w:id="0" w:name="_GoBack"/>
            <w:bookmarkEnd w:id="0"/>
            <w:r w:rsidR="000E4913" w:rsidRPr="000E4913">
              <w:rPr>
                <w:color w:val="00B050"/>
                <w:highlight w:val="white"/>
              </w:rPr>
              <w:t>on:</w:t>
            </w:r>
          </w:p>
          <w:p w:rsidR="000E4913" w:rsidRPr="000E4913" w:rsidRDefault="000E4913" w:rsidP="000E4913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0E4913">
              <w:rPr>
                <w:color w:val="00B050"/>
                <w:highlight w:val="white"/>
              </w:rPr>
              <w:t>Mean</w:t>
            </w:r>
          </w:p>
          <w:p w:rsidR="000E4913" w:rsidRPr="000E4913" w:rsidRDefault="002708FC" w:rsidP="000E4913">
            <w:pPr>
              <w:pStyle w:val="NoSpacing"/>
              <w:ind w:left="720"/>
              <w:rPr>
                <w:color w:val="00B050"/>
                <w:highlight w:val="white"/>
              </w:rPr>
            </w:pPr>
            <w:hyperlink r:id="rId16" w:history="1">
              <w:r w:rsidR="000E4913" w:rsidRPr="000E4913">
                <w:rPr>
                  <w:rStyle w:val="Hyperlink"/>
                  <w:color w:val="00B050"/>
                  <w:highlight w:val="white"/>
                </w:rPr>
                <w:t>https://corbettmathsprimary.com/2018/07/17/the-mean-video/</w:t>
              </w:r>
            </w:hyperlink>
          </w:p>
          <w:p w:rsidR="000E4913" w:rsidRPr="000E4913" w:rsidRDefault="000E4913" w:rsidP="000E4913">
            <w:pPr>
              <w:pStyle w:val="NoSpacing"/>
              <w:ind w:left="720"/>
              <w:rPr>
                <w:color w:val="00B050"/>
                <w:highlight w:val="white"/>
              </w:rPr>
            </w:pPr>
          </w:p>
          <w:p w:rsidR="000E4913" w:rsidRPr="000E4913" w:rsidRDefault="000E4913" w:rsidP="00D44703">
            <w:pPr>
              <w:pStyle w:val="NoSpacing"/>
              <w:rPr>
                <w:color w:val="00B050"/>
                <w:highlight w:val="white"/>
              </w:rPr>
            </w:pPr>
            <w:r w:rsidRPr="000E4913">
              <w:rPr>
                <w:color w:val="00B050"/>
                <w:highlight w:val="white"/>
              </w:rPr>
              <w:lastRenderedPageBreak/>
              <w:t>AND/OR</w:t>
            </w:r>
          </w:p>
          <w:p w:rsidR="000E4913" w:rsidRPr="000E4913" w:rsidRDefault="000E4913" w:rsidP="00D44703">
            <w:pPr>
              <w:pStyle w:val="NoSpacing"/>
              <w:rPr>
                <w:color w:val="00B050"/>
                <w:highlight w:val="white"/>
              </w:rPr>
            </w:pPr>
          </w:p>
          <w:p w:rsidR="000E4913" w:rsidRDefault="00AA4906" w:rsidP="000E4913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0E4913">
              <w:rPr>
                <w:color w:val="00B050"/>
                <w:highlight w:val="white"/>
              </w:rPr>
              <w:t xml:space="preserve">The mean  </w:t>
            </w:r>
          </w:p>
          <w:p w:rsidR="0031094B" w:rsidRPr="000E4913" w:rsidRDefault="00AA4906" w:rsidP="000E4913">
            <w:pPr>
              <w:pStyle w:val="NoSpacing"/>
              <w:numPr>
                <w:ilvl w:val="0"/>
                <w:numId w:val="22"/>
              </w:numPr>
              <w:rPr>
                <w:color w:val="00B050"/>
                <w:highlight w:val="white"/>
              </w:rPr>
            </w:pPr>
            <w:r w:rsidRPr="000E4913">
              <w:rPr>
                <w:color w:val="00B050"/>
                <w:highlight w:val="white"/>
              </w:rPr>
              <w:t>The mean activity</w:t>
            </w:r>
          </w:p>
          <w:p w:rsidR="000E4913" w:rsidRPr="000E4913" w:rsidRDefault="000E4913" w:rsidP="00D44703">
            <w:pPr>
              <w:pStyle w:val="NoSpacing"/>
              <w:rPr>
                <w:color w:val="00B050"/>
              </w:rPr>
            </w:pPr>
          </w:p>
          <w:p w:rsidR="000E4913" w:rsidRPr="000E4913" w:rsidRDefault="002708FC" w:rsidP="00D44703">
            <w:pPr>
              <w:pStyle w:val="NoSpacing"/>
              <w:rPr>
                <w:color w:val="00B050"/>
              </w:rPr>
            </w:pPr>
            <w:hyperlink r:id="rId17" w:history="1">
              <w:r w:rsidR="000E4913" w:rsidRPr="000E4913">
                <w:rPr>
                  <w:rStyle w:val="Hyperlink"/>
                  <w:color w:val="00B050"/>
                </w:rPr>
                <w:t>https://whiterosemaths.com/homelearning/year-6/summer-week-2-statistics/</w:t>
              </w:r>
            </w:hyperlink>
          </w:p>
          <w:p w:rsidR="000E4913" w:rsidRPr="000E4913" w:rsidRDefault="000E4913" w:rsidP="00D44703">
            <w:pPr>
              <w:pStyle w:val="NoSpacing"/>
              <w:rPr>
                <w:color w:val="00B050"/>
              </w:rPr>
            </w:pPr>
          </w:p>
          <w:p w:rsidR="000E4913" w:rsidRPr="000E4913" w:rsidRDefault="000E4913" w:rsidP="000E4913">
            <w:pPr>
              <w:pStyle w:val="NoSpacing"/>
              <w:rPr>
                <w:color w:val="00B050"/>
                <w:highlight w:val="white"/>
              </w:rPr>
            </w:pPr>
            <w:r w:rsidRPr="000E4913">
              <w:rPr>
                <w:color w:val="00B050"/>
                <w:highlight w:val="white"/>
              </w:rPr>
              <w:t xml:space="preserve">Go on to </w:t>
            </w:r>
            <w:proofErr w:type="spellStart"/>
            <w:r w:rsidRPr="000E4913">
              <w:rPr>
                <w:color w:val="00B050"/>
                <w:highlight w:val="white"/>
              </w:rPr>
              <w:t>Mymaths</w:t>
            </w:r>
            <w:proofErr w:type="spellEnd"/>
            <w:r w:rsidRPr="000E4913">
              <w:rPr>
                <w:color w:val="00B050"/>
                <w:highlight w:val="white"/>
              </w:rPr>
              <w:t xml:space="preserve"> and complete the activities on ‘Mean and mode’, ‘Distance time graphs’ and ‘Interpreting data’.</w:t>
            </w:r>
          </w:p>
          <w:p w:rsidR="000E4913" w:rsidRDefault="000E4913" w:rsidP="00D44703">
            <w:pPr>
              <w:pStyle w:val="NoSpacing"/>
            </w:pPr>
          </w:p>
          <w:p w:rsidR="000E4913" w:rsidRDefault="000E4913" w:rsidP="00D44703">
            <w:pPr>
              <w:pStyle w:val="NoSpacing"/>
              <w:rPr>
                <w:highlight w:val="white"/>
              </w:rPr>
            </w:pPr>
          </w:p>
          <w:p w:rsidR="00F0296A" w:rsidRDefault="00F0296A" w:rsidP="00D44703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2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8754296"/>
    <w:multiLevelType w:val="hybridMultilevel"/>
    <w:tmpl w:val="B18A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19"/>
  </w:num>
  <w:num w:numId="8">
    <w:abstractNumId w:val="5"/>
  </w:num>
  <w:num w:numId="9">
    <w:abstractNumId w:val="11"/>
  </w:num>
  <w:num w:numId="10">
    <w:abstractNumId w:val="1"/>
  </w:num>
  <w:num w:numId="11">
    <w:abstractNumId w:val="18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17"/>
  </w:num>
  <w:num w:numId="18">
    <w:abstractNumId w:val="14"/>
  </w:num>
  <w:num w:numId="19">
    <w:abstractNumId w:val="7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946CD"/>
    <w:rsid w:val="000E4913"/>
    <w:rsid w:val="000E780A"/>
    <w:rsid w:val="00104AEB"/>
    <w:rsid w:val="00115E1A"/>
    <w:rsid w:val="001363F1"/>
    <w:rsid w:val="00184C33"/>
    <w:rsid w:val="001B13CF"/>
    <w:rsid w:val="002708FC"/>
    <w:rsid w:val="00296423"/>
    <w:rsid w:val="002B3C1F"/>
    <w:rsid w:val="002B67D3"/>
    <w:rsid w:val="0031094B"/>
    <w:rsid w:val="00342E3B"/>
    <w:rsid w:val="003A3B45"/>
    <w:rsid w:val="003C06E3"/>
    <w:rsid w:val="003C38AC"/>
    <w:rsid w:val="00445A4E"/>
    <w:rsid w:val="00480F10"/>
    <w:rsid w:val="00486A0C"/>
    <w:rsid w:val="00540C48"/>
    <w:rsid w:val="0054707C"/>
    <w:rsid w:val="005D6058"/>
    <w:rsid w:val="00603A32"/>
    <w:rsid w:val="006160EA"/>
    <w:rsid w:val="006C08FC"/>
    <w:rsid w:val="006F0440"/>
    <w:rsid w:val="00716803"/>
    <w:rsid w:val="007221E1"/>
    <w:rsid w:val="00735DA2"/>
    <w:rsid w:val="00746B53"/>
    <w:rsid w:val="00753D61"/>
    <w:rsid w:val="007A3C39"/>
    <w:rsid w:val="007C224E"/>
    <w:rsid w:val="007F5B1B"/>
    <w:rsid w:val="007F696F"/>
    <w:rsid w:val="00811542"/>
    <w:rsid w:val="0082494E"/>
    <w:rsid w:val="0084650A"/>
    <w:rsid w:val="008A23D2"/>
    <w:rsid w:val="008C7DAC"/>
    <w:rsid w:val="008E0D58"/>
    <w:rsid w:val="00955B4C"/>
    <w:rsid w:val="00965220"/>
    <w:rsid w:val="009871F1"/>
    <w:rsid w:val="00A06DCD"/>
    <w:rsid w:val="00A24895"/>
    <w:rsid w:val="00A65805"/>
    <w:rsid w:val="00A65F53"/>
    <w:rsid w:val="00A67833"/>
    <w:rsid w:val="00A779C2"/>
    <w:rsid w:val="00AA4906"/>
    <w:rsid w:val="00AD68F4"/>
    <w:rsid w:val="00B30EFE"/>
    <w:rsid w:val="00B46C37"/>
    <w:rsid w:val="00B74586"/>
    <w:rsid w:val="00BC4CE8"/>
    <w:rsid w:val="00BD2218"/>
    <w:rsid w:val="00C16F74"/>
    <w:rsid w:val="00C93A2D"/>
    <w:rsid w:val="00CF048B"/>
    <w:rsid w:val="00D1508A"/>
    <w:rsid w:val="00D44703"/>
    <w:rsid w:val="00DA534F"/>
    <w:rsid w:val="00DA7856"/>
    <w:rsid w:val="00DD37AF"/>
    <w:rsid w:val="00DE7CD7"/>
    <w:rsid w:val="00DF04AF"/>
    <w:rsid w:val="00E25614"/>
    <w:rsid w:val="00E71037"/>
    <w:rsid w:val="00E801E2"/>
    <w:rsid w:val="00E82D92"/>
    <w:rsid w:val="00E847D2"/>
    <w:rsid w:val="00E95D14"/>
    <w:rsid w:val="00F0296A"/>
    <w:rsid w:val="00F14C4D"/>
    <w:rsid w:val="00F26F7A"/>
    <w:rsid w:val="00F3188A"/>
    <w:rsid w:val="00F47679"/>
    <w:rsid w:val="00F768F6"/>
    <w:rsid w:val="00FD4B73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D67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corbettmathsprimary.com/2018/07/19/line-graphs-video/" TargetMode="External"/><Relationship Id="rId18" Type="http://schemas.openxmlformats.org/officeDocument/2006/relationships/image" Target="media/image3.tmp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ummer-week-1-statistics/" TargetMode="External"/><Relationship Id="rId17" Type="http://schemas.openxmlformats.org/officeDocument/2006/relationships/hyperlink" Target="https://whiterosemaths.com/homelearning/year-6/summer-week-2-statist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bettmathsprimary.com/2018/07/17/the-mean-video/" TargetMode="External"/><Relationship Id="rId20" Type="http://schemas.openxmlformats.org/officeDocument/2006/relationships/image" Target="media/image5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primary.com/2018/07/19/line-graphs-vide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summer-week-1-statistic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iterosemaths.com/homelearning/year-6/summer-week-1-statistics/" TargetMode="External"/><Relationship Id="rId19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6/01/bar-charts-video/" TargetMode="External"/><Relationship Id="rId14" Type="http://schemas.openxmlformats.org/officeDocument/2006/relationships/hyperlink" Target="https://whiterosemaths.com/homelearning/year-6/summer-week-1-statistic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5</cp:revision>
  <cp:lastPrinted>2020-10-21T10:50:00Z</cp:lastPrinted>
  <dcterms:created xsi:type="dcterms:W3CDTF">2021-06-14T12:10:00Z</dcterms:created>
  <dcterms:modified xsi:type="dcterms:W3CDTF">2021-06-14T12:48:00Z</dcterms:modified>
</cp:coreProperties>
</file>