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7E2614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5" w:rsidRPr="00F46E55" w:rsidRDefault="00F0296A" w:rsidP="000B6996">
            <w:pPr>
              <w:pStyle w:val="NoSpacing"/>
            </w:pPr>
            <w:r w:rsidRPr="008E0D58">
              <w:t xml:space="preserve">Main learning objective: </w:t>
            </w:r>
            <w:r w:rsidR="00F46E55" w:rsidRPr="00F46E55">
              <w:t>To:</w:t>
            </w:r>
          </w:p>
          <w:p w:rsidR="00F46E55" w:rsidRPr="00F46E55" w:rsidRDefault="00F46E55" w:rsidP="00F46E5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46E55" w:rsidRPr="00F46E55" w:rsidRDefault="00F46E55" w:rsidP="00F46E55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F46E55">
              <w:rPr>
                <w:rFonts w:asciiTheme="minorHAnsi" w:hAnsiTheme="minorHAnsi"/>
                <w:sz w:val="22"/>
                <w:szCs w:val="22"/>
              </w:rPr>
              <w:t xml:space="preserve">solve problems involving similar shapes where the scale factor is known or can be found </w:t>
            </w:r>
          </w:p>
          <w:p w:rsidR="00F46E55" w:rsidRPr="00F46E55" w:rsidRDefault="00F46E55" w:rsidP="00F46E55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F46E55">
              <w:rPr>
                <w:rFonts w:asciiTheme="minorHAnsi" w:hAnsiTheme="minorHAnsi"/>
                <w:sz w:val="22"/>
                <w:szCs w:val="22"/>
              </w:rPr>
              <w:t xml:space="preserve">solve problems involving unequal sharing and grouping using knowledge of fractions and multiples. </w:t>
            </w:r>
          </w:p>
          <w:p w:rsidR="000B6996" w:rsidRPr="000B6996" w:rsidRDefault="000B6996" w:rsidP="000B6996">
            <w:pPr>
              <w:pStyle w:val="NoSpacing"/>
            </w:pPr>
            <w:r>
              <w:rPr>
                <w:sz w:val="23"/>
                <w:szCs w:val="23"/>
              </w:rPr>
              <w:t xml:space="preserve"> </w:t>
            </w:r>
          </w:p>
          <w:p w:rsidR="00F0296A" w:rsidRDefault="00F0296A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76EF6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DC6D91">
              <w:rPr>
                <w:color w:val="00B050"/>
              </w:rPr>
              <w:t>21</w:t>
            </w:r>
            <w:r w:rsidR="00DC6D91" w:rsidRPr="00DC6D91">
              <w:rPr>
                <w:color w:val="00B050"/>
                <w:vertAlign w:val="superscript"/>
              </w:rPr>
              <w:t>st</w:t>
            </w:r>
            <w:r w:rsidR="00DC6D91">
              <w:rPr>
                <w:color w:val="00B050"/>
              </w:rPr>
              <w:t xml:space="preserve"> </w:t>
            </w:r>
            <w:bookmarkStart w:id="0" w:name="_GoBack"/>
            <w:bookmarkEnd w:id="0"/>
            <w:r w:rsidR="000B6996">
              <w:rPr>
                <w:color w:val="00B050"/>
              </w:rPr>
              <w:t>May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Monday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Ratio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Scale drawings</w:t>
            </w:r>
            <w:r w:rsidR="00193CA8">
              <w:rPr>
                <w:color w:val="7030A0"/>
              </w:rPr>
              <w:t xml:space="preserve"> – closely linked to ratio </w:t>
            </w:r>
            <w:proofErr w:type="spellStart"/>
            <w:r w:rsidR="00193CA8">
              <w:rPr>
                <w:color w:val="7030A0"/>
              </w:rPr>
              <w:t>ch</w:t>
            </w:r>
            <w:proofErr w:type="spellEnd"/>
            <w:r w:rsidR="00193CA8">
              <w:rPr>
                <w:color w:val="7030A0"/>
              </w:rPr>
              <w:t xml:space="preserve"> need to be aware that whatever they do to one side they do the same to the other (1</w:t>
            </w:r>
            <w:r w:rsidR="00747650">
              <w:rPr>
                <w:color w:val="7030A0"/>
              </w:rPr>
              <w:t>:2, question says</w:t>
            </w:r>
            <w:r w:rsidR="00193CA8">
              <w:rPr>
                <w:color w:val="7030A0"/>
              </w:rPr>
              <w:t xml:space="preserve"> _:</w:t>
            </w:r>
            <w:proofErr w:type="gramStart"/>
            <w:r w:rsidR="00193CA8">
              <w:rPr>
                <w:color w:val="7030A0"/>
              </w:rPr>
              <w:t xml:space="preserve">6 </w:t>
            </w:r>
            <w:r w:rsidR="00747650">
              <w:rPr>
                <w:color w:val="7030A0"/>
              </w:rPr>
              <w:t xml:space="preserve"> so</w:t>
            </w:r>
            <w:proofErr w:type="gramEnd"/>
            <w:r w:rsidR="00747650">
              <w:rPr>
                <w:color w:val="7030A0"/>
              </w:rPr>
              <w:t xml:space="preserve"> they have</w:t>
            </w:r>
            <w:r w:rsidR="00193CA8">
              <w:rPr>
                <w:color w:val="7030A0"/>
              </w:rPr>
              <w:t xml:space="preserve"> x 2 by 3 do the same to 1 so 3:6) make sure </w:t>
            </w:r>
            <w:proofErr w:type="spellStart"/>
            <w:r w:rsidR="00193CA8">
              <w:rPr>
                <w:color w:val="7030A0"/>
              </w:rPr>
              <w:t>ch</w:t>
            </w:r>
            <w:proofErr w:type="spellEnd"/>
            <w:r w:rsidR="00193CA8">
              <w:rPr>
                <w:color w:val="7030A0"/>
              </w:rPr>
              <w:t xml:space="preserve"> ar</w:t>
            </w:r>
            <w:r w:rsidR="00747650">
              <w:rPr>
                <w:color w:val="7030A0"/>
              </w:rPr>
              <w:t xml:space="preserve">e careful with unit of measurement. </w:t>
            </w:r>
            <w:proofErr w:type="spellStart"/>
            <w:r w:rsidR="00747650">
              <w:rPr>
                <w:color w:val="7030A0"/>
              </w:rPr>
              <w:t>Ch</w:t>
            </w:r>
            <w:proofErr w:type="spellEnd"/>
            <w:r w:rsidR="00747650">
              <w:rPr>
                <w:color w:val="7030A0"/>
              </w:rPr>
              <w:t xml:space="preserve"> use ratio provided to identify correct conversions. 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PM TB 6B P. 224-227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PM PB 6B P. 165-167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proofErr w:type="spellStart"/>
            <w:r w:rsidRPr="00F46E55">
              <w:rPr>
                <w:color w:val="7030A0"/>
              </w:rPr>
              <w:t>Headstart</w:t>
            </w:r>
            <w:proofErr w:type="spellEnd"/>
            <w:r w:rsidRPr="00F46E55">
              <w:rPr>
                <w:color w:val="7030A0"/>
              </w:rPr>
              <w:t xml:space="preserve"> </w:t>
            </w:r>
            <w:proofErr w:type="spellStart"/>
            <w:r w:rsidRPr="00F46E55">
              <w:rPr>
                <w:color w:val="7030A0"/>
              </w:rPr>
              <w:t>yr</w:t>
            </w:r>
            <w:proofErr w:type="spellEnd"/>
            <w:r w:rsidRPr="00F46E55">
              <w:rPr>
                <w:color w:val="7030A0"/>
              </w:rPr>
              <w:t xml:space="preserve"> 6 p. 85-86 and </w:t>
            </w:r>
            <w:proofErr w:type="spellStart"/>
            <w:r w:rsidRPr="00F46E55">
              <w:rPr>
                <w:color w:val="7030A0"/>
              </w:rPr>
              <w:t>headstart</w:t>
            </w:r>
            <w:proofErr w:type="spellEnd"/>
            <w:r w:rsidRPr="00F46E55">
              <w:rPr>
                <w:color w:val="7030A0"/>
              </w:rPr>
              <w:t xml:space="preserve"> </w:t>
            </w:r>
            <w:proofErr w:type="spellStart"/>
            <w:r w:rsidRPr="00F46E55">
              <w:rPr>
                <w:color w:val="7030A0"/>
              </w:rPr>
              <w:t>yr</w:t>
            </w:r>
            <w:proofErr w:type="spellEnd"/>
            <w:r w:rsidRPr="00F46E55">
              <w:rPr>
                <w:color w:val="7030A0"/>
              </w:rPr>
              <w:t xml:space="preserve"> 6 problem solving p. 123-124</w:t>
            </w:r>
          </w:p>
          <w:p w:rsidR="00430AED" w:rsidRPr="00BD050F" w:rsidRDefault="00430AED" w:rsidP="006D134B">
            <w:pPr>
              <w:pStyle w:val="NoSpacing"/>
              <w:rPr>
                <w:b/>
                <w:i/>
                <w:color w:val="7030A0"/>
                <w:highlight w:val="white"/>
              </w:rPr>
            </w:pPr>
          </w:p>
          <w:p w:rsidR="005043B6" w:rsidRDefault="005043B6" w:rsidP="006D134B">
            <w:pPr>
              <w:pStyle w:val="NoSpacing"/>
              <w:rPr>
                <w:b/>
                <w:color w:val="7030A0"/>
              </w:rPr>
            </w:pPr>
          </w:p>
          <w:p w:rsidR="005043B6" w:rsidRPr="00CE17C7" w:rsidRDefault="005043B6" w:rsidP="005043B6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 xml:space="preserve">Watch the video below on ‘using scale factors’ </w:t>
            </w:r>
          </w:p>
          <w:p w:rsidR="005043B6" w:rsidRDefault="005043B6" w:rsidP="006D134B">
            <w:pPr>
              <w:pStyle w:val="NoSpacing"/>
              <w:rPr>
                <w:b/>
                <w:color w:val="7030A0"/>
              </w:rPr>
            </w:pPr>
          </w:p>
          <w:p w:rsidR="00CE17C7" w:rsidRDefault="00DC6D91" w:rsidP="006D134B">
            <w:pPr>
              <w:pStyle w:val="NoSpacing"/>
              <w:rPr>
                <w:b/>
                <w:color w:val="7030A0"/>
              </w:rPr>
            </w:pPr>
            <w:hyperlink r:id="rId9" w:history="1">
              <w:r w:rsidR="005043B6" w:rsidRPr="00824063">
                <w:rPr>
                  <w:rStyle w:val="Hyperlink"/>
                  <w:b/>
                </w:rPr>
                <w:t>https://whiterosemaths.com/homelearning/year-6/spring-week-11-number-ratio/</w:t>
              </w:r>
            </w:hyperlink>
          </w:p>
          <w:p w:rsidR="005043B6" w:rsidRPr="00BD050F" w:rsidRDefault="005043B6" w:rsidP="006D134B">
            <w:pPr>
              <w:pStyle w:val="NoSpacing"/>
              <w:rPr>
                <w:b/>
                <w:color w:val="7030A0"/>
                <w:highlight w:val="white"/>
              </w:rPr>
            </w:pPr>
          </w:p>
          <w:p w:rsidR="0056770F" w:rsidRDefault="0056770F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9865CD" w:rsidRPr="006B1B30" w:rsidRDefault="009865CD" w:rsidP="009865CD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865CD" w:rsidRPr="006B1B30" w:rsidRDefault="00F46E55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enlarging shapes </w:t>
            </w:r>
          </w:p>
          <w:p w:rsidR="00CE17C7" w:rsidRPr="00CE17C7" w:rsidRDefault="00CE17C7" w:rsidP="00CE17C7">
            <w:pPr>
              <w:rPr>
                <w:rStyle w:val="Hyperlink"/>
                <w:color w:val="00B050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Tuesday</w:t>
            </w:r>
            <w:r w:rsidR="007E2614">
              <w:rPr>
                <w:color w:val="7030A0"/>
              </w:rPr>
              <w:t xml:space="preserve"> – scale factors </w:t>
            </w:r>
            <w:r w:rsidR="00747650">
              <w:rPr>
                <w:color w:val="7030A0"/>
              </w:rPr>
              <w:t xml:space="preserve">– today </w:t>
            </w:r>
            <w:proofErr w:type="spellStart"/>
            <w:r w:rsidR="00747650">
              <w:rPr>
                <w:color w:val="7030A0"/>
              </w:rPr>
              <w:t>ch</w:t>
            </w:r>
            <w:proofErr w:type="spellEnd"/>
            <w:r w:rsidR="00747650">
              <w:rPr>
                <w:color w:val="7030A0"/>
              </w:rPr>
              <w:t xml:space="preserve"> need to identify the scale factor something has been increased or reduced by</w:t>
            </w:r>
            <w:r w:rsidR="00B245D8">
              <w:rPr>
                <w:color w:val="7030A0"/>
              </w:rPr>
              <w:t xml:space="preserve"> (what the original amount has been multiplied by)</w:t>
            </w:r>
            <w:r w:rsidR="00747650">
              <w:rPr>
                <w:color w:val="7030A0"/>
              </w:rPr>
              <w:t xml:space="preserve">. 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PM TB 6B P. 228- 231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PM PB 6B P. 168 - 170</w:t>
            </w:r>
          </w:p>
          <w:p w:rsidR="00F46E55" w:rsidRDefault="00F46E55" w:rsidP="00F46E55">
            <w:pPr>
              <w:rPr>
                <w:color w:val="7030A0"/>
              </w:rPr>
            </w:pPr>
            <w:proofErr w:type="spellStart"/>
            <w:r w:rsidRPr="00F46E55">
              <w:rPr>
                <w:color w:val="7030A0"/>
              </w:rPr>
              <w:t>Headstart</w:t>
            </w:r>
            <w:proofErr w:type="spellEnd"/>
            <w:r w:rsidRPr="00F46E55">
              <w:rPr>
                <w:color w:val="7030A0"/>
              </w:rPr>
              <w:t xml:space="preserve"> </w:t>
            </w:r>
            <w:proofErr w:type="spellStart"/>
            <w:r w:rsidRPr="00F46E55">
              <w:rPr>
                <w:color w:val="7030A0"/>
              </w:rPr>
              <w:t>yr</w:t>
            </w:r>
            <w:proofErr w:type="spellEnd"/>
            <w:r w:rsidRPr="00F46E55">
              <w:rPr>
                <w:color w:val="7030A0"/>
              </w:rPr>
              <w:t xml:space="preserve"> 6 problem solving p. 125-126</w:t>
            </w:r>
          </w:p>
          <w:p w:rsidR="008807F7" w:rsidRDefault="008807F7" w:rsidP="00F46E55">
            <w:pPr>
              <w:rPr>
                <w:color w:val="7030A0"/>
              </w:rPr>
            </w:pPr>
          </w:p>
          <w:p w:rsidR="008807F7" w:rsidRPr="00F46E55" w:rsidRDefault="008807F7" w:rsidP="00F46E55">
            <w:pPr>
              <w:rPr>
                <w:color w:val="7030A0"/>
              </w:rPr>
            </w:pPr>
            <w:r>
              <w:rPr>
                <w:color w:val="7030A0"/>
              </w:rPr>
              <w:t>Also look at ‘using scale factors’ resources from WR</w:t>
            </w:r>
          </w:p>
          <w:p w:rsidR="00887DDF" w:rsidRPr="00887DDF" w:rsidRDefault="00887DDF" w:rsidP="00887DDF">
            <w:pPr>
              <w:rPr>
                <w:color w:val="7030A0"/>
              </w:rPr>
            </w:pPr>
          </w:p>
          <w:p w:rsidR="005043B6" w:rsidRPr="00CE17C7" w:rsidRDefault="005043B6" w:rsidP="005043B6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‘calculating scale factors’ </w:t>
            </w:r>
          </w:p>
          <w:p w:rsidR="005043B6" w:rsidRDefault="005043B6" w:rsidP="005043B6">
            <w:pPr>
              <w:pStyle w:val="NoSpacing"/>
              <w:rPr>
                <w:b/>
                <w:color w:val="7030A0"/>
              </w:rPr>
            </w:pPr>
          </w:p>
          <w:p w:rsidR="005043B6" w:rsidRDefault="00DC6D91" w:rsidP="005043B6">
            <w:pPr>
              <w:pStyle w:val="NoSpacing"/>
              <w:rPr>
                <w:b/>
                <w:color w:val="7030A0"/>
              </w:rPr>
            </w:pPr>
            <w:hyperlink r:id="rId10" w:history="1">
              <w:r w:rsidR="005043B6" w:rsidRPr="00824063">
                <w:rPr>
                  <w:rStyle w:val="Hyperlink"/>
                  <w:b/>
                </w:rPr>
                <w:t>https://whiterosemaths.com/homelearning/year-6/spring-week-11-number-ratio/</w:t>
              </w:r>
            </w:hyperlink>
          </w:p>
          <w:p w:rsidR="00D03BF8" w:rsidRPr="00D03BF8" w:rsidRDefault="00D03BF8" w:rsidP="00382CF8">
            <w:pPr>
              <w:rPr>
                <w:b/>
                <w:color w:val="7030A0"/>
                <w:sz w:val="24"/>
                <w:szCs w:val="24"/>
              </w:rPr>
            </w:pPr>
          </w:p>
          <w:p w:rsidR="00D03BF8" w:rsidRPr="006B1B30" w:rsidRDefault="00D03BF8" w:rsidP="00D03BF8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03BF8" w:rsidRPr="006B1B30" w:rsidRDefault="00F46E55" w:rsidP="00D03BF8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map scales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CE17C7" w:rsidRDefault="00CE17C7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lastRenderedPageBreak/>
              <w:t>Wednesday</w:t>
            </w:r>
          </w:p>
          <w:p w:rsid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Similar shapes</w:t>
            </w:r>
            <w:r w:rsidR="006F6C74">
              <w:rPr>
                <w:color w:val="7030A0"/>
              </w:rPr>
              <w:t xml:space="preserve"> – make sure </w:t>
            </w:r>
            <w:proofErr w:type="spellStart"/>
            <w:r w:rsidR="006F6C74">
              <w:rPr>
                <w:color w:val="7030A0"/>
              </w:rPr>
              <w:t>ch</w:t>
            </w:r>
            <w:proofErr w:type="spellEnd"/>
            <w:r w:rsidR="006F6C74">
              <w:rPr>
                <w:color w:val="7030A0"/>
              </w:rPr>
              <w:t xml:space="preserve"> understand similar shapes is when ALL the sides of the shapes have been enlarged or changed by the same amount.  </w:t>
            </w:r>
          </w:p>
          <w:p w:rsidR="006E2CDD" w:rsidRPr="00F46E55" w:rsidRDefault="006E2CDD" w:rsidP="00F46E55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Ch</w:t>
            </w:r>
            <w:proofErr w:type="spellEnd"/>
            <w:r>
              <w:rPr>
                <w:color w:val="7030A0"/>
              </w:rPr>
              <w:t xml:space="preserve"> need to identify how much a shape has been enlarged by and use this to calculate missing measurements. </w:t>
            </w:r>
            <w:proofErr w:type="spellStart"/>
            <w:r>
              <w:rPr>
                <w:color w:val="7030A0"/>
              </w:rPr>
              <w:t>Ch</w:t>
            </w:r>
            <w:proofErr w:type="spellEnd"/>
            <w:r>
              <w:rPr>
                <w:color w:val="7030A0"/>
              </w:rPr>
              <w:t xml:space="preserve"> need to know shapes can be enlarged by halves too. 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PM TB 6B P. 232-235</w:t>
            </w:r>
          </w:p>
          <w:p w:rsid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PM PB 6B P. 171-173</w:t>
            </w:r>
          </w:p>
          <w:p w:rsidR="008807F7" w:rsidRPr="00F46E55" w:rsidRDefault="008807F7" w:rsidP="008807F7">
            <w:pPr>
              <w:rPr>
                <w:color w:val="7030A0"/>
              </w:rPr>
            </w:pPr>
            <w:r>
              <w:rPr>
                <w:color w:val="7030A0"/>
              </w:rPr>
              <w:t>Also look at ‘calculating scale factors’ resources from WR</w:t>
            </w:r>
          </w:p>
          <w:p w:rsidR="008807F7" w:rsidRPr="00F46E55" w:rsidRDefault="008807F7" w:rsidP="00F46E55">
            <w:pPr>
              <w:rPr>
                <w:color w:val="7030A0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Task – either complete WR fluency questions (Wednesday’s maths PowerPoint) or the Friday test base document</w:t>
            </w:r>
          </w:p>
          <w:p w:rsidR="00BD5E52" w:rsidRDefault="00BD5E52" w:rsidP="007A3C39">
            <w:pPr>
              <w:pStyle w:val="NoSpacing"/>
              <w:rPr>
                <w:rFonts w:cs="Arial"/>
              </w:rPr>
            </w:pPr>
          </w:p>
          <w:p w:rsidR="005043B6" w:rsidRPr="00CE17C7" w:rsidRDefault="005043B6" w:rsidP="005043B6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‘ratio and proportion problems’ </w:t>
            </w:r>
          </w:p>
          <w:p w:rsidR="005043B6" w:rsidRDefault="005043B6" w:rsidP="005043B6">
            <w:pPr>
              <w:pStyle w:val="NoSpacing"/>
              <w:rPr>
                <w:b/>
                <w:color w:val="7030A0"/>
              </w:rPr>
            </w:pPr>
          </w:p>
          <w:p w:rsidR="005043B6" w:rsidRDefault="00DC6D91" w:rsidP="005043B6">
            <w:pPr>
              <w:pStyle w:val="NoSpacing"/>
              <w:rPr>
                <w:b/>
                <w:color w:val="7030A0"/>
              </w:rPr>
            </w:pPr>
            <w:hyperlink r:id="rId11" w:history="1">
              <w:r w:rsidR="005043B6" w:rsidRPr="00824063">
                <w:rPr>
                  <w:rStyle w:val="Hyperlink"/>
                  <w:b/>
                </w:rPr>
                <w:t>https://whiterosemaths.com/homelearning/year-6/spring-week-11-number-ratio/</w:t>
              </w:r>
            </w:hyperlink>
          </w:p>
          <w:p w:rsidR="00CE17C7" w:rsidRDefault="00CE17C7" w:rsidP="009865CD"/>
          <w:p w:rsidR="00CE17C7" w:rsidRDefault="00CE17C7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887DDF" w:rsidRPr="006B1B30" w:rsidRDefault="00F46E55" w:rsidP="00F46E5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Complete </w:t>
            </w:r>
            <w:r>
              <w:rPr>
                <w:b/>
                <w:color w:val="00B050"/>
              </w:rPr>
              <w:t>‘Wednesday’s ratio and scale factor maths’ PowerPoint</w:t>
            </w:r>
          </w:p>
          <w:p w:rsidR="009B15D4" w:rsidRDefault="009B15D4" w:rsidP="00430AED">
            <w:pPr>
              <w:pStyle w:val="NoSpacing"/>
              <w:rPr>
                <w:color w:val="00B050"/>
              </w:rPr>
            </w:pPr>
          </w:p>
          <w:p w:rsidR="00CE17C7" w:rsidRPr="00E06CA2" w:rsidRDefault="00CE17C7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Thursday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Ratio problems</w:t>
            </w:r>
            <w:r w:rsidR="006E2CDD">
              <w:rPr>
                <w:color w:val="7030A0"/>
              </w:rPr>
              <w:t xml:space="preserve"> – </w:t>
            </w:r>
            <w:proofErr w:type="spellStart"/>
            <w:r w:rsidR="006E2CDD">
              <w:rPr>
                <w:color w:val="7030A0"/>
              </w:rPr>
              <w:t>ch</w:t>
            </w:r>
            <w:proofErr w:type="spellEnd"/>
            <w:r w:rsidR="006E2CDD">
              <w:rPr>
                <w:color w:val="7030A0"/>
              </w:rPr>
              <w:t xml:space="preserve"> will look at scenarios where ratios dicta</w:t>
            </w:r>
            <w:r w:rsidR="00372F45">
              <w:rPr>
                <w:color w:val="7030A0"/>
              </w:rPr>
              <w:t>te how much of something is needed</w:t>
            </w:r>
            <w:r w:rsidR="006E2CDD">
              <w:rPr>
                <w:color w:val="7030A0"/>
              </w:rPr>
              <w:t xml:space="preserve"> – ingredients for 4 people how much will be needed for 8 etc. So </w:t>
            </w:r>
            <w:proofErr w:type="spellStart"/>
            <w:r w:rsidR="006E2CDD">
              <w:rPr>
                <w:color w:val="7030A0"/>
              </w:rPr>
              <w:t>ch</w:t>
            </w:r>
            <w:proofErr w:type="spellEnd"/>
            <w:r w:rsidR="006E2CDD">
              <w:rPr>
                <w:color w:val="7030A0"/>
              </w:rPr>
              <w:t xml:space="preserve"> will need to use known facts or break amounts down into portions for one and multiply by correct amounts (bar model might help here). </w:t>
            </w:r>
            <w:r w:rsidR="00372F45">
              <w:rPr>
                <w:color w:val="7030A0"/>
              </w:rPr>
              <w:t xml:space="preserve">Then </w:t>
            </w:r>
            <w:proofErr w:type="spellStart"/>
            <w:r w:rsidR="00372F45">
              <w:rPr>
                <w:color w:val="7030A0"/>
              </w:rPr>
              <w:t>ch</w:t>
            </w:r>
            <w:proofErr w:type="spellEnd"/>
            <w:r w:rsidR="00372F45">
              <w:rPr>
                <w:color w:val="7030A0"/>
              </w:rPr>
              <w:t xml:space="preserve"> need to identify how much an amount has increased or decreased by to identify the ratio and calculate further answers. 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PM TB 6B P. 236-243</w:t>
            </w:r>
          </w:p>
          <w:p w:rsid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lastRenderedPageBreak/>
              <w:t>PM PB 6B P. 174-179</w:t>
            </w:r>
          </w:p>
          <w:p w:rsidR="008807F7" w:rsidRPr="00F46E55" w:rsidRDefault="008807F7" w:rsidP="008807F7">
            <w:pPr>
              <w:rPr>
                <w:color w:val="7030A0"/>
              </w:rPr>
            </w:pPr>
            <w:r>
              <w:rPr>
                <w:color w:val="7030A0"/>
              </w:rPr>
              <w:t>Also look at ‘ratio and proportion problems’ resources from WR</w:t>
            </w:r>
          </w:p>
          <w:p w:rsidR="008807F7" w:rsidRPr="00F46E55" w:rsidRDefault="008807F7" w:rsidP="00F46E55">
            <w:pPr>
              <w:rPr>
                <w:color w:val="7030A0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proofErr w:type="spellStart"/>
            <w:r w:rsidRPr="00F46E55">
              <w:rPr>
                <w:color w:val="7030A0"/>
              </w:rPr>
              <w:t>Headstart</w:t>
            </w:r>
            <w:proofErr w:type="spellEnd"/>
            <w:r w:rsidRPr="00F46E55">
              <w:rPr>
                <w:color w:val="7030A0"/>
              </w:rPr>
              <w:t xml:space="preserve"> year 6 p. 87-88 and </w:t>
            </w:r>
            <w:proofErr w:type="spellStart"/>
            <w:r w:rsidRPr="00F46E55">
              <w:rPr>
                <w:color w:val="7030A0"/>
              </w:rPr>
              <w:t>Headstart</w:t>
            </w:r>
            <w:proofErr w:type="spellEnd"/>
            <w:r w:rsidRPr="00F46E55">
              <w:rPr>
                <w:color w:val="7030A0"/>
              </w:rPr>
              <w:t xml:space="preserve"> </w:t>
            </w:r>
            <w:proofErr w:type="spellStart"/>
            <w:r w:rsidRPr="00F46E55">
              <w:rPr>
                <w:color w:val="7030A0"/>
              </w:rPr>
              <w:t>yr</w:t>
            </w:r>
            <w:proofErr w:type="spellEnd"/>
            <w:r w:rsidRPr="00F46E55">
              <w:rPr>
                <w:color w:val="7030A0"/>
              </w:rPr>
              <w:t xml:space="preserve"> 6 problem solving book p. 127-129 and if needed p. 132-143</w:t>
            </w:r>
          </w:p>
          <w:p w:rsidR="0056770F" w:rsidRDefault="0056770F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5043B6" w:rsidRPr="00CE17C7" w:rsidRDefault="005043B6" w:rsidP="005043B6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‘ratio and proportion problems 2’ </w:t>
            </w:r>
          </w:p>
          <w:p w:rsidR="005043B6" w:rsidRDefault="005043B6" w:rsidP="005043B6">
            <w:pPr>
              <w:pStyle w:val="NoSpacing"/>
              <w:rPr>
                <w:b/>
                <w:color w:val="7030A0"/>
              </w:rPr>
            </w:pPr>
          </w:p>
          <w:p w:rsidR="005043B6" w:rsidRDefault="00DC6D91" w:rsidP="005043B6">
            <w:pPr>
              <w:pStyle w:val="NoSpacing"/>
              <w:rPr>
                <w:b/>
                <w:color w:val="7030A0"/>
              </w:rPr>
            </w:pPr>
            <w:hyperlink r:id="rId12" w:history="1">
              <w:r w:rsidR="005043B6" w:rsidRPr="00824063">
                <w:rPr>
                  <w:rStyle w:val="Hyperlink"/>
                  <w:b/>
                </w:rPr>
                <w:t>https://whiterosemaths.com/homelearning/year-6/spring-week-11-number-ratio/</w:t>
              </w:r>
            </w:hyperlink>
          </w:p>
          <w:p w:rsidR="00BD050F" w:rsidRDefault="00BD050F" w:rsidP="0056770F"/>
          <w:p w:rsidR="00DA6407" w:rsidRPr="006B1B30" w:rsidRDefault="00F46E55" w:rsidP="00F46E5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‘Thursday’s ratio reasoning’ PowerPoint.</w:t>
            </w: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F46E55" w:rsidRDefault="00F46E55" w:rsidP="00F46E55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 Five</w:t>
            </w:r>
            <w:r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Friday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End of unit check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PM TB 6B P. 244-245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PM PB 6B P. 180-181</w:t>
            </w: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WR test – Ratio</w:t>
            </w:r>
          </w:p>
          <w:p w:rsidR="00F46E55" w:rsidRDefault="00F46E55" w:rsidP="00F46E55"/>
          <w:p w:rsidR="00F46E55" w:rsidRPr="00F46E55" w:rsidRDefault="00F46E55" w:rsidP="00F46E55">
            <w:pPr>
              <w:rPr>
                <w:rFonts w:ascii="Cambria bold" w:hAnsi="Cambria bold"/>
                <w:b/>
                <w:color w:val="00B050"/>
              </w:rPr>
            </w:pPr>
            <w:r w:rsidRPr="00F46E55">
              <w:rPr>
                <w:rFonts w:ascii="Cambria bold" w:hAnsi="Cambria bold"/>
                <w:b/>
                <w:color w:val="00B050"/>
              </w:rPr>
              <w:t xml:space="preserve">Complete </w:t>
            </w:r>
            <w:r>
              <w:rPr>
                <w:rFonts w:ascii="Cambria bold" w:hAnsi="Cambria bold"/>
                <w:b/>
                <w:color w:val="00B050"/>
              </w:rPr>
              <w:t>‘</w:t>
            </w:r>
            <w:r w:rsidRPr="00F46E55">
              <w:rPr>
                <w:rFonts w:ascii="Cambria bold" w:hAnsi="Cambria bold"/>
                <w:b/>
                <w:color w:val="00B050"/>
              </w:rPr>
              <w:t>Friday ratio reasoning questions</w:t>
            </w:r>
            <w:r>
              <w:rPr>
                <w:rFonts w:ascii="Cambria bold" w:hAnsi="Cambria bold"/>
                <w:b/>
                <w:color w:val="00B050"/>
              </w:rPr>
              <w:t>’</w:t>
            </w:r>
            <w:r w:rsidRPr="00F46E55">
              <w:rPr>
                <w:rFonts w:ascii="Cambria bold" w:hAnsi="Cambria bold"/>
                <w:b/>
                <w:color w:val="00B050"/>
              </w:rPr>
              <w:t xml:space="preserve"> document.</w:t>
            </w:r>
          </w:p>
          <w:p w:rsidR="00DA6407" w:rsidRDefault="00DA6407" w:rsidP="00DA6407"/>
          <w:p w:rsidR="00DA6407" w:rsidRDefault="00DA6407" w:rsidP="00DA6407">
            <w:pPr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7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A8" w:rsidRDefault="00193CA8">
      <w:pPr>
        <w:spacing w:after="0" w:line="240" w:lineRule="auto"/>
      </w:pPr>
      <w:r>
        <w:separator/>
      </w:r>
    </w:p>
  </w:endnote>
  <w:endnote w:type="continuationSeparator" w:id="0">
    <w:p w:rsidR="00193CA8" w:rsidRDefault="001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A8" w:rsidRDefault="00193CA8">
      <w:pPr>
        <w:spacing w:after="0" w:line="240" w:lineRule="auto"/>
      </w:pPr>
      <w:r>
        <w:separator/>
      </w:r>
    </w:p>
  </w:footnote>
  <w:footnote w:type="continuationSeparator" w:id="0">
    <w:p w:rsidR="00193CA8" w:rsidRDefault="001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A8" w:rsidRPr="005D6058" w:rsidRDefault="00193CA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193CA8" w:rsidRPr="005D6058" w:rsidRDefault="00193CA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193CA8" w:rsidRPr="005D6058" w:rsidRDefault="00193CA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193CA8" w:rsidRDefault="00193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E36289"/>
    <w:multiLevelType w:val="hybridMultilevel"/>
    <w:tmpl w:val="E97A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972"/>
    <w:multiLevelType w:val="hybridMultilevel"/>
    <w:tmpl w:val="1E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5294"/>
    <w:multiLevelType w:val="hybridMultilevel"/>
    <w:tmpl w:val="7306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7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4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8"/>
  </w:num>
  <w:num w:numId="5">
    <w:abstractNumId w:val="11"/>
  </w:num>
  <w:num w:numId="6">
    <w:abstractNumId w:val="23"/>
  </w:num>
  <w:num w:numId="7">
    <w:abstractNumId w:val="36"/>
  </w:num>
  <w:num w:numId="8">
    <w:abstractNumId w:val="15"/>
  </w:num>
  <w:num w:numId="9">
    <w:abstractNumId w:val="21"/>
  </w:num>
  <w:num w:numId="10">
    <w:abstractNumId w:val="8"/>
  </w:num>
  <w:num w:numId="11">
    <w:abstractNumId w:val="34"/>
  </w:num>
  <w:num w:numId="12">
    <w:abstractNumId w:val="37"/>
  </w:num>
  <w:num w:numId="13">
    <w:abstractNumId w:val="19"/>
  </w:num>
  <w:num w:numId="14">
    <w:abstractNumId w:val="22"/>
  </w:num>
  <w:num w:numId="15">
    <w:abstractNumId w:val="16"/>
  </w:num>
  <w:num w:numId="16">
    <w:abstractNumId w:val="20"/>
  </w:num>
  <w:num w:numId="17">
    <w:abstractNumId w:val="33"/>
  </w:num>
  <w:num w:numId="18">
    <w:abstractNumId w:val="25"/>
  </w:num>
  <w:num w:numId="19">
    <w:abstractNumId w:val="17"/>
  </w:num>
  <w:num w:numId="20">
    <w:abstractNumId w:val="38"/>
  </w:num>
  <w:num w:numId="21">
    <w:abstractNumId w:val="14"/>
  </w:num>
  <w:num w:numId="22">
    <w:abstractNumId w:val="26"/>
  </w:num>
  <w:num w:numId="23">
    <w:abstractNumId w:val="32"/>
  </w:num>
  <w:num w:numId="24">
    <w:abstractNumId w:val="31"/>
  </w:num>
  <w:num w:numId="25">
    <w:abstractNumId w:val="7"/>
  </w:num>
  <w:num w:numId="26">
    <w:abstractNumId w:val="35"/>
  </w:num>
  <w:num w:numId="27">
    <w:abstractNumId w:val="27"/>
  </w:num>
  <w:num w:numId="28">
    <w:abstractNumId w:val="30"/>
  </w:num>
  <w:num w:numId="29">
    <w:abstractNumId w:val="29"/>
  </w:num>
  <w:num w:numId="30">
    <w:abstractNumId w:val="6"/>
  </w:num>
  <w:num w:numId="31">
    <w:abstractNumId w:val="24"/>
  </w:num>
  <w:num w:numId="32">
    <w:abstractNumId w:val="0"/>
  </w:num>
  <w:num w:numId="33">
    <w:abstractNumId w:val="10"/>
  </w:num>
  <w:num w:numId="34">
    <w:abstractNumId w:val="1"/>
  </w:num>
  <w:num w:numId="35">
    <w:abstractNumId w:val="13"/>
  </w:num>
  <w:num w:numId="36">
    <w:abstractNumId w:val="2"/>
  </w:num>
  <w:num w:numId="37">
    <w:abstractNumId w:val="5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B6996"/>
    <w:rsid w:val="000E780A"/>
    <w:rsid w:val="00104AEB"/>
    <w:rsid w:val="00115E1A"/>
    <w:rsid w:val="001363F1"/>
    <w:rsid w:val="00163DC3"/>
    <w:rsid w:val="00184C33"/>
    <w:rsid w:val="00185288"/>
    <w:rsid w:val="00193CA8"/>
    <w:rsid w:val="001B13CF"/>
    <w:rsid w:val="00220629"/>
    <w:rsid w:val="00265511"/>
    <w:rsid w:val="00296423"/>
    <w:rsid w:val="002B3C1F"/>
    <w:rsid w:val="002B67D3"/>
    <w:rsid w:val="002D5097"/>
    <w:rsid w:val="0031094B"/>
    <w:rsid w:val="00322481"/>
    <w:rsid w:val="00342E3B"/>
    <w:rsid w:val="00372F45"/>
    <w:rsid w:val="00382CF8"/>
    <w:rsid w:val="00391F6B"/>
    <w:rsid w:val="003A3B45"/>
    <w:rsid w:val="003C06E3"/>
    <w:rsid w:val="003C38AC"/>
    <w:rsid w:val="00401DB0"/>
    <w:rsid w:val="00430AED"/>
    <w:rsid w:val="00444555"/>
    <w:rsid w:val="00445A4E"/>
    <w:rsid w:val="00480F10"/>
    <w:rsid w:val="00486A0C"/>
    <w:rsid w:val="00500EE7"/>
    <w:rsid w:val="005043B6"/>
    <w:rsid w:val="00540C48"/>
    <w:rsid w:val="0054707C"/>
    <w:rsid w:val="005571BC"/>
    <w:rsid w:val="0056770F"/>
    <w:rsid w:val="005D6058"/>
    <w:rsid w:val="00603A32"/>
    <w:rsid w:val="006160EA"/>
    <w:rsid w:val="0066488C"/>
    <w:rsid w:val="006B1B30"/>
    <w:rsid w:val="006C08FC"/>
    <w:rsid w:val="006D134B"/>
    <w:rsid w:val="006E2CDD"/>
    <w:rsid w:val="006F0440"/>
    <w:rsid w:val="006F6C74"/>
    <w:rsid w:val="00715E38"/>
    <w:rsid w:val="007221E1"/>
    <w:rsid w:val="00735DA2"/>
    <w:rsid w:val="00745B72"/>
    <w:rsid w:val="00746B53"/>
    <w:rsid w:val="00747650"/>
    <w:rsid w:val="00753D61"/>
    <w:rsid w:val="007845B6"/>
    <w:rsid w:val="007A3C39"/>
    <w:rsid w:val="007C224E"/>
    <w:rsid w:val="007C28FB"/>
    <w:rsid w:val="007E2614"/>
    <w:rsid w:val="007F5B1B"/>
    <w:rsid w:val="007F696F"/>
    <w:rsid w:val="00811542"/>
    <w:rsid w:val="0082494E"/>
    <w:rsid w:val="0083372D"/>
    <w:rsid w:val="00840DBE"/>
    <w:rsid w:val="008446E8"/>
    <w:rsid w:val="0084650A"/>
    <w:rsid w:val="00876EF6"/>
    <w:rsid w:val="008807F7"/>
    <w:rsid w:val="00887DDF"/>
    <w:rsid w:val="008A23D2"/>
    <w:rsid w:val="008C7DAC"/>
    <w:rsid w:val="008E0D58"/>
    <w:rsid w:val="009230C9"/>
    <w:rsid w:val="00955B4C"/>
    <w:rsid w:val="00965220"/>
    <w:rsid w:val="009865CD"/>
    <w:rsid w:val="009871F1"/>
    <w:rsid w:val="00997BDB"/>
    <w:rsid w:val="009A3FB0"/>
    <w:rsid w:val="009B15D4"/>
    <w:rsid w:val="009D40AF"/>
    <w:rsid w:val="00A24895"/>
    <w:rsid w:val="00A37BCD"/>
    <w:rsid w:val="00A65805"/>
    <w:rsid w:val="00A65F53"/>
    <w:rsid w:val="00A779C2"/>
    <w:rsid w:val="00AD68F4"/>
    <w:rsid w:val="00B245D8"/>
    <w:rsid w:val="00B30EFE"/>
    <w:rsid w:val="00B46C37"/>
    <w:rsid w:val="00B74586"/>
    <w:rsid w:val="00BC32DC"/>
    <w:rsid w:val="00BC4CE8"/>
    <w:rsid w:val="00BD050F"/>
    <w:rsid w:val="00BD2218"/>
    <w:rsid w:val="00BD5E52"/>
    <w:rsid w:val="00BD6801"/>
    <w:rsid w:val="00C16F74"/>
    <w:rsid w:val="00C402CC"/>
    <w:rsid w:val="00C40FEA"/>
    <w:rsid w:val="00C93A2D"/>
    <w:rsid w:val="00CE17C7"/>
    <w:rsid w:val="00CF048B"/>
    <w:rsid w:val="00D01E73"/>
    <w:rsid w:val="00D03BF8"/>
    <w:rsid w:val="00D1508A"/>
    <w:rsid w:val="00D2591D"/>
    <w:rsid w:val="00D44703"/>
    <w:rsid w:val="00D54C06"/>
    <w:rsid w:val="00D6122B"/>
    <w:rsid w:val="00DA534F"/>
    <w:rsid w:val="00DA6407"/>
    <w:rsid w:val="00DA7856"/>
    <w:rsid w:val="00DB2014"/>
    <w:rsid w:val="00DC6D91"/>
    <w:rsid w:val="00DD6ED2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296A"/>
    <w:rsid w:val="00F0723A"/>
    <w:rsid w:val="00F14C4D"/>
    <w:rsid w:val="00F26F7A"/>
    <w:rsid w:val="00F3188A"/>
    <w:rsid w:val="00F46E55"/>
    <w:rsid w:val="00F47679"/>
    <w:rsid w:val="00F768F6"/>
    <w:rsid w:val="00F82A17"/>
    <w:rsid w:val="00FA54DC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E837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11-number-rati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pring-week-11-number-rati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s://whiterosemaths.com/homelearning/year-6/spring-week-11-number-rati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spring-week-11-number-ratio/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11</cp:revision>
  <cp:lastPrinted>2020-10-21T10:50:00Z</cp:lastPrinted>
  <dcterms:created xsi:type="dcterms:W3CDTF">2021-03-02T11:05:00Z</dcterms:created>
  <dcterms:modified xsi:type="dcterms:W3CDTF">2021-05-14T06:57:00Z</dcterms:modified>
</cp:coreProperties>
</file>