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876A76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E1" w:rsidRPr="00E30AE1" w:rsidRDefault="00F0296A" w:rsidP="00E30AE1">
            <w:pPr>
              <w:pStyle w:val="NoSpacing"/>
              <w:rPr>
                <w:sz w:val="24"/>
                <w:szCs w:val="24"/>
              </w:rPr>
            </w:pPr>
            <w:r w:rsidRPr="008E0D58">
              <w:t xml:space="preserve">Main learning objective: </w:t>
            </w:r>
            <w:r w:rsidRPr="00E30AE1">
              <w:rPr>
                <w:sz w:val="24"/>
                <w:szCs w:val="24"/>
              </w:rPr>
              <w:t>To</w:t>
            </w:r>
            <w:r w:rsidR="00E30AE1" w:rsidRPr="00E30AE1">
              <w:rPr>
                <w:sz w:val="24"/>
                <w:szCs w:val="24"/>
              </w:rPr>
              <w:t>:</w:t>
            </w:r>
            <w:r w:rsidR="000B6996" w:rsidRPr="00E30AE1">
              <w:rPr>
                <w:sz w:val="24"/>
                <w:szCs w:val="24"/>
              </w:rPr>
              <w:t xml:space="preserve"> </w:t>
            </w:r>
          </w:p>
          <w:p w:rsidR="00E30AE1" w:rsidRPr="00E30AE1" w:rsidRDefault="000B6996" w:rsidP="00E30AE1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>understand ratio and propo</w:t>
            </w:r>
            <w:r w:rsidR="00E30AE1" w:rsidRPr="00E30AE1">
              <w:rPr>
                <w:sz w:val="24"/>
                <w:szCs w:val="24"/>
              </w:rPr>
              <w:t>rtion and the symbols used</w:t>
            </w:r>
            <w:r w:rsidRPr="00E30AE1">
              <w:rPr>
                <w:sz w:val="24"/>
                <w:szCs w:val="24"/>
              </w:rPr>
              <w:t xml:space="preserve"> </w:t>
            </w:r>
          </w:p>
          <w:p w:rsidR="00E30AE1" w:rsidRPr="00E30AE1" w:rsidRDefault="000B6996" w:rsidP="00E30AE1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>solve problems involving the relative sizes of two quantities where missing values can be found by using integer multiplication and division facts</w:t>
            </w:r>
          </w:p>
          <w:p w:rsidR="00E30AE1" w:rsidRPr="00E30AE1" w:rsidRDefault="00E30AE1" w:rsidP="00E30AE1">
            <w:pPr>
              <w:pStyle w:val="NoSpacing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E30AE1">
              <w:rPr>
                <w:sz w:val="24"/>
                <w:szCs w:val="24"/>
              </w:rPr>
              <w:t xml:space="preserve">solve problems involving the calculation of percentages [for example, of measures, and such as 15% of 360] and the use of percentages for comparison </w:t>
            </w:r>
          </w:p>
          <w:p w:rsidR="000B6996" w:rsidRPr="000B6996" w:rsidRDefault="000B6996" w:rsidP="000B6996">
            <w:pPr>
              <w:pStyle w:val="NoSpacing"/>
            </w:pPr>
            <w:r>
              <w:rPr>
                <w:sz w:val="23"/>
                <w:szCs w:val="23"/>
              </w:rPr>
              <w:t xml:space="preserve">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435586">
              <w:rPr>
                <w:color w:val="00B050"/>
              </w:rPr>
              <w:t>14</w:t>
            </w:r>
            <w:r w:rsidR="000B6996" w:rsidRPr="000B6996">
              <w:rPr>
                <w:color w:val="00B050"/>
                <w:vertAlign w:val="superscript"/>
              </w:rPr>
              <w:t>th</w:t>
            </w:r>
            <w:r w:rsidR="000B6996">
              <w:rPr>
                <w:color w:val="00B050"/>
              </w:rPr>
              <w:t xml:space="preserve"> May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9865CD" w:rsidRPr="009865CD" w:rsidRDefault="009D054C" w:rsidP="009865CD">
            <w:pPr>
              <w:rPr>
                <w:color w:val="7030A0"/>
              </w:rPr>
            </w:pPr>
            <w:r>
              <w:rPr>
                <w:color w:val="7030A0"/>
              </w:rPr>
              <w:t>Mon</w:t>
            </w:r>
            <w:r w:rsidR="009865CD" w:rsidRPr="009865CD">
              <w:rPr>
                <w:color w:val="7030A0"/>
              </w:rPr>
              <w:t>day – introducing ratio</w:t>
            </w:r>
            <w:r w:rsidR="003104EA">
              <w:rPr>
                <w:color w:val="7030A0"/>
              </w:rPr>
              <w:t xml:space="preserve"> (ratio 1)</w:t>
            </w:r>
            <w:r w:rsidR="00FE1F90">
              <w:rPr>
                <w:color w:val="7030A0"/>
              </w:rPr>
              <w:t xml:space="preserve"> – first looking at sorting/sharing/grouping and seeing the ratio from the groups made then on to identifying simple ratios with given scenarios. It also focuses on fraction equivalent for the ratio. </w:t>
            </w:r>
            <w:r w:rsidR="00BA0021">
              <w:rPr>
                <w:color w:val="7030A0"/>
              </w:rPr>
              <w:t>MAKE SURE CH KNOW THAT WHATEVER COMES FIRST IN THE SENTENCE ALSO COMES FURST IN THE RATIO EQUATION (ratio of boys to girls is 3:2 – boys = 3 and girls = 2)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PM TB 6B P. 208-211 </w:t>
            </w:r>
            <w:bookmarkStart w:id="0" w:name="_GoBack"/>
            <w:bookmarkEnd w:id="0"/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>PM PB 6B P. 153-155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lastRenderedPageBreak/>
              <w:t>Independent task –</w:t>
            </w:r>
            <w:r w:rsidR="00670A02">
              <w:rPr>
                <w:color w:val="7030A0"/>
              </w:rPr>
              <w:t xml:space="preserve"> </w:t>
            </w:r>
            <w:r w:rsidR="006E6BBA">
              <w:rPr>
                <w:color w:val="7030A0"/>
              </w:rPr>
              <w:t>first 2 pages of WR tasks</w:t>
            </w:r>
            <w:r w:rsidR="006E6BBA" w:rsidRPr="009865CD">
              <w:rPr>
                <w:color w:val="7030A0"/>
              </w:rPr>
              <w:t xml:space="preserve"> </w:t>
            </w:r>
          </w:p>
          <w:p w:rsidR="00430AED" w:rsidRPr="00BD050F" w:rsidRDefault="00430AED" w:rsidP="006D134B">
            <w:pPr>
              <w:pStyle w:val="NoSpacing"/>
              <w:rPr>
                <w:b/>
                <w:i/>
                <w:color w:val="7030A0"/>
                <w:highlight w:val="white"/>
              </w:rPr>
            </w:pPr>
          </w:p>
          <w:p w:rsidR="00CE17C7" w:rsidRPr="00BD050F" w:rsidRDefault="00CE17C7" w:rsidP="006D134B">
            <w:pPr>
              <w:pStyle w:val="NoSpacing"/>
              <w:rPr>
                <w:b/>
                <w:color w:val="7030A0"/>
                <w:highlight w:val="white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865CD" w:rsidRPr="00CE17C7" w:rsidRDefault="009865CD" w:rsidP="00CE17C7">
            <w:pPr>
              <w:rPr>
                <w:color w:val="00B050"/>
              </w:rPr>
            </w:pPr>
            <w:r>
              <w:rPr>
                <w:color w:val="00B050"/>
              </w:rPr>
              <w:t>Watch the video below on ratio and proportion</w:t>
            </w:r>
          </w:p>
          <w:p w:rsidR="009865CD" w:rsidRDefault="00435586" w:rsidP="009865CD">
            <w:hyperlink r:id="rId9" w:history="1">
              <w:r w:rsidR="009865CD" w:rsidRPr="00FA20DE">
                <w:rPr>
                  <w:rStyle w:val="Hyperlink"/>
                </w:rPr>
                <w:t>https://corbettmathsprimary.com/2018/07/31/proportion-video/</w:t>
              </w:r>
            </w:hyperlink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>AND</w:t>
            </w: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>‘using ratio language’</w:t>
            </w:r>
            <w:r>
              <w:rPr>
                <w:rFonts w:asciiTheme="majorHAnsi" w:hAnsiTheme="majorHAnsi" w:cstheme="majorHAnsi"/>
                <w:color w:val="00B050"/>
                <w:highlight w:val="white"/>
              </w:rPr>
              <w:t xml:space="preserve"> and</w:t>
            </w:r>
            <w:r w:rsidRPr="00EA5F45">
              <w:rPr>
                <w:rFonts w:asciiTheme="majorHAnsi" w:hAnsiTheme="majorHAnsi" w:cstheme="majorHAnsi"/>
                <w:color w:val="00B050"/>
                <w:highlight w:val="white"/>
              </w:rPr>
              <w:t xml:space="preserve"> ‘ratio and fractions’</w:t>
            </w:r>
            <w:r>
              <w:rPr>
                <w:rFonts w:asciiTheme="majorHAnsi" w:hAnsiTheme="majorHAnsi" w:cstheme="majorHAnsi"/>
                <w:color w:val="00B050"/>
                <w:highlight w:val="white"/>
              </w:rPr>
              <w:t xml:space="preserve"> on the link below</w:t>
            </w:r>
          </w:p>
          <w:p w:rsidR="00EA5F45" w:rsidRPr="00EA5F45" w:rsidRDefault="00EA5F45" w:rsidP="009865CD">
            <w:pPr>
              <w:pStyle w:val="NoSpacing"/>
              <w:rPr>
                <w:rFonts w:asciiTheme="majorHAnsi" w:hAnsiTheme="majorHAnsi" w:cstheme="majorHAnsi"/>
                <w:color w:val="00B050"/>
                <w:highlight w:val="white"/>
              </w:rPr>
            </w:pPr>
          </w:p>
          <w:p w:rsidR="00EA5F45" w:rsidRPr="00EA5F45" w:rsidRDefault="00435586" w:rsidP="009865CD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0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Default="00EA5F45" w:rsidP="009865C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EA5F45" w:rsidRDefault="00EA5F45" w:rsidP="009865C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9865CD" w:rsidRPr="006B1B30" w:rsidRDefault="009865CD" w:rsidP="009865C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865CD" w:rsidRDefault="009865CD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Ratio introduction</w:t>
            </w:r>
          </w:p>
          <w:p w:rsidR="009865CD" w:rsidRPr="006B1B30" w:rsidRDefault="009865CD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Proportion introduction </w:t>
            </w:r>
          </w:p>
          <w:p w:rsidR="00CE17C7" w:rsidRPr="00CE17C7" w:rsidRDefault="00CE17C7" w:rsidP="00CE17C7">
            <w:pPr>
              <w:rPr>
                <w:rStyle w:val="Hyperlink"/>
                <w:color w:val="00B050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9865CD" w:rsidRDefault="009D054C" w:rsidP="009865CD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Tu</w:t>
            </w:r>
            <w:r w:rsidR="009865CD" w:rsidRPr="009865CD">
              <w:rPr>
                <w:color w:val="7030A0"/>
              </w:rPr>
              <w:t>esday  -</w:t>
            </w:r>
            <w:proofErr w:type="gramEnd"/>
            <w:r w:rsidR="009865CD" w:rsidRPr="009865CD">
              <w:rPr>
                <w:color w:val="7030A0"/>
              </w:rPr>
              <w:t xml:space="preserve"> continuing with ratio</w:t>
            </w:r>
            <w:r w:rsidR="003104EA">
              <w:rPr>
                <w:color w:val="7030A0"/>
              </w:rPr>
              <w:t xml:space="preserve"> (ratio 2)</w:t>
            </w:r>
            <w:r w:rsidR="00FE1F90">
              <w:rPr>
                <w:color w:val="7030A0"/>
              </w:rPr>
              <w:t xml:space="preserve"> – identifying ratios for given scenarios and creating images with given ratios. </w:t>
            </w:r>
            <w:proofErr w:type="spellStart"/>
            <w:r w:rsidR="00FE1F90">
              <w:rPr>
                <w:color w:val="7030A0"/>
              </w:rPr>
              <w:t>Ch</w:t>
            </w:r>
            <w:proofErr w:type="spellEnd"/>
            <w:r w:rsidR="00FE1F90">
              <w:rPr>
                <w:color w:val="7030A0"/>
              </w:rPr>
              <w:t xml:space="preserve"> will start </w:t>
            </w:r>
            <w:proofErr w:type="gramStart"/>
            <w:r w:rsidR="00FE1F90">
              <w:rPr>
                <w:color w:val="7030A0"/>
              </w:rPr>
              <w:t>using :</w:t>
            </w:r>
            <w:proofErr w:type="gramEnd"/>
            <w:r w:rsidR="00FE1F90">
              <w:rPr>
                <w:color w:val="7030A0"/>
              </w:rPr>
              <w:t xml:space="preserve"> to separate ratio and simplifying too (6:9 – 2:3)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 w:rsidRPr="009865CD">
              <w:rPr>
                <w:color w:val="7030A0"/>
              </w:rPr>
              <w:t>PM TB 6B P. 212-215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 w:rsidRPr="009865CD">
              <w:rPr>
                <w:color w:val="7030A0"/>
              </w:rPr>
              <w:t>PM PB 6B P. 156-158</w:t>
            </w:r>
          </w:p>
          <w:p w:rsidR="003104EA" w:rsidRPr="009865CD" w:rsidRDefault="003104EA" w:rsidP="009865CD">
            <w:pPr>
              <w:rPr>
                <w:color w:val="7030A0"/>
              </w:rPr>
            </w:pPr>
          </w:p>
          <w:p w:rsidR="009865CD" w:rsidRP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– </w:t>
            </w:r>
            <w:r w:rsidR="006E6BBA">
              <w:rPr>
                <w:color w:val="7030A0"/>
              </w:rPr>
              <w:t>Last 2 pages of WR</w:t>
            </w:r>
            <w:r w:rsidR="006E6BBA" w:rsidRPr="009865CD">
              <w:rPr>
                <w:color w:val="7030A0"/>
              </w:rPr>
              <w:t xml:space="preserve"> tasks</w:t>
            </w:r>
          </w:p>
          <w:p w:rsidR="00EA5F45" w:rsidRDefault="00EA5F45" w:rsidP="00EA5F45">
            <w:pPr>
              <w:rPr>
                <w:color w:val="00B050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‘introducing the ratio symbol’ </w:t>
            </w:r>
          </w:p>
          <w:p w:rsidR="00887DDF" w:rsidRDefault="00887DDF" w:rsidP="00887DDF">
            <w:pPr>
              <w:rPr>
                <w:color w:val="7030A0"/>
              </w:rPr>
            </w:pPr>
          </w:p>
          <w:p w:rsidR="00EA5F45" w:rsidRPr="00EA5F45" w:rsidRDefault="00435586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1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Pr="00887DDF" w:rsidRDefault="00EA5F45" w:rsidP="00887DDF">
            <w:pPr>
              <w:rPr>
                <w:color w:val="7030A0"/>
              </w:rPr>
            </w:pPr>
          </w:p>
          <w:p w:rsidR="00D03BF8" w:rsidRPr="006B1B30" w:rsidRDefault="00D03BF8" w:rsidP="00D03BF8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9865CD" w:rsidP="00D03BF8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Modelling ratio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9865CD" w:rsidRDefault="009D054C" w:rsidP="009865CD">
            <w:pPr>
              <w:rPr>
                <w:color w:val="7030A0"/>
              </w:rPr>
            </w:pPr>
            <w:r>
              <w:rPr>
                <w:color w:val="7030A0"/>
              </w:rPr>
              <w:t>Wedne</w:t>
            </w:r>
            <w:r w:rsidR="009865CD" w:rsidRPr="009865CD">
              <w:rPr>
                <w:color w:val="7030A0"/>
              </w:rPr>
              <w:t>sday</w:t>
            </w:r>
            <w:r w:rsidR="003104EA">
              <w:rPr>
                <w:color w:val="7030A0"/>
              </w:rPr>
              <w:t xml:space="preserve"> – ratio 3</w:t>
            </w:r>
            <w:r w:rsidR="00BA0021">
              <w:rPr>
                <w:color w:val="7030A0"/>
              </w:rPr>
              <w:t xml:space="preserve"> – using ratios to calculate and draw answers in different scenarios – there are some questions too with total given and a ratio and children need to calculate how many of each using info provided. Bar model will help with this but </w:t>
            </w:r>
            <w:proofErr w:type="spellStart"/>
            <w:r w:rsidR="00BA0021">
              <w:rPr>
                <w:color w:val="7030A0"/>
              </w:rPr>
              <w:t>Ch</w:t>
            </w:r>
            <w:proofErr w:type="spellEnd"/>
            <w:r w:rsidR="00BA0021">
              <w:rPr>
                <w:color w:val="7030A0"/>
              </w:rPr>
              <w:t xml:space="preserve"> will need to understand they need to add the two ratio numbers and divide total by that to find what one part would be (ratio 6:2 – total £48 – 6+2 = 8 - £48 ÷ 8 = £6 so £6 is each part – 36:12) 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TB 6B P. 216-219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PB 6B P. 159-161</w:t>
            </w:r>
          </w:p>
          <w:p w:rsidR="003104EA" w:rsidRPr="009865CD" w:rsidRDefault="003104EA" w:rsidP="009865CD">
            <w:pPr>
              <w:rPr>
                <w:color w:val="7030A0"/>
              </w:rPr>
            </w:pPr>
          </w:p>
          <w:p w:rsidR="00670A02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</w:t>
            </w:r>
            <w:r w:rsidR="00670A02">
              <w:rPr>
                <w:color w:val="7030A0"/>
              </w:rPr>
              <w:t>–</w:t>
            </w:r>
            <w:r w:rsidRPr="009865CD">
              <w:rPr>
                <w:color w:val="7030A0"/>
              </w:rPr>
              <w:t xml:space="preserve"> </w:t>
            </w:r>
            <w:proofErr w:type="spellStart"/>
            <w:r w:rsidR="006E6BBA" w:rsidRPr="009865CD">
              <w:rPr>
                <w:color w:val="7030A0"/>
              </w:rPr>
              <w:t>Headstart</w:t>
            </w:r>
            <w:proofErr w:type="spellEnd"/>
            <w:r w:rsidR="006E6BBA" w:rsidRPr="009865CD">
              <w:rPr>
                <w:color w:val="7030A0"/>
              </w:rPr>
              <w:t xml:space="preserve"> </w:t>
            </w:r>
            <w:proofErr w:type="spellStart"/>
            <w:r w:rsidR="006E6BBA" w:rsidRPr="009865CD">
              <w:rPr>
                <w:color w:val="7030A0"/>
              </w:rPr>
              <w:t>yr</w:t>
            </w:r>
            <w:proofErr w:type="spellEnd"/>
            <w:r w:rsidR="006E6BBA" w:rsidRPr="009865CD">
              <w:rPr>
                <w:color w:val="7030A0"/>
              </w:rPr>
              <w:t xml:space="preserve"> 6p. 80-82</w:t>
            </w:r>
            <w:r w:rsidR="006E6BBA">
              <w:rPr>
                <w:color w:val="7030A0"/>
              </w:rPr>
              <w:t xml:space="preserve"> </w:t>
            </w: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‘calculating ratio activity’ </w:t>
            </w:r>
          </w:p>
          <w:p w:rsidR="00EA5F45" w:rsidRDefault="00EA5F45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</w:p>
          <w:p w:rsidR="00EA5F45" w:rsidRPr="00EA5F45" w:rsidRDefault="00435586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2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CE17C7" w:rsidRDefault="00CE17C7" w:rsidP="009865CD"/>
          <w:p w:rsidR="00CE17C7" w:rsidRDefault="00CE17C7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87DDF" w:rsidRPr="006B1B30" w:rsidRDefault="00887DDF" w:rsidP="00887DDF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87DDF" w:rsidRPr="006B1B30" w:rsidRDefault="009865CD" w:rsidP="00887DDF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Dividing in a ratio 1</w:t>
            </w: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9865CD" w:rsidRPr="009865CD" w:rsidRDefault="009D054C" w:rsidP="009865CD">
            <w:pPr>
              <w:rPr>
                <w:color w:val="7030A0"/>
              </w:rPr>
            </w:pPr>
            <w:r>
              <w:rPr>
                <w:color w:val="7030A0"/>
              </w:rPr>
              <w:t>Thurs</w:t>
            </w:r>
            <w:r w:rsidR="009865CD" w:rsidRPr="009865CD">
              <w:rPr>
                <w:color w:val="7030A0"/>
              </w:rPr>
              <w:t>day</w:t>
            </w:r>
            <w:r w:rsidR="003104EA">
              <w:rPr>
                <w:color w:val="7030A0"/>
              </w:rPr>
              <w:t xml:space="preserve"> – ratio 4</w:t>
            </w:r>
            <w:r w:rsidR="00BA0021">
              <w:rPr>
                <w:color w:val="7030A0"/>
              </w:rPr>
              <w:t xml:space="preserve"> </w:t>
            </w:r>
            <w:r w:rsidR="00971D72">
              <w:rPr>
                <w:color w:val="7030A0"/>
              </w:rPr>
              <w:t>–</w:t>
            </w:r>
            <w:r w:rsidR="00BA0021">
              <w:rPr>
                <w:color w:val="7030A0"/>
              </w:rPr>
              <w:t xml:space="preserve"> </w:t>
            </w:r>
            <w:r w:rsidR="00971D72">
              <w:rPr>
                <w:color w:val="7030A0"/>
              </w:rPr>
              <w:t xml:space="preserve">continue more work on </w:t>
            </w:r>
            <w:r w:rsidR="000C161C">
              <w:rPr>
                <w:color w:val="7030A0"/>
              </w:rPr>
              <w:t>finding each part with given total and ratio.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t>PM TB 6B P. 220-223</w:t>
            </w:r>
          </w:p>
          <w:p w:rsidR="003104EA" w:rsidRPr="009865CD" w:rsidRDefault="003104EA" w:rsidP="003104EA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PM PB 6B P. 162 - 164</w:t>
            </w:r>
          </w:p>
          <w:p w:rsidR="009865CD" w:rsidRPr="009865CD" w:rsidRDefault="009865CD" w:rsidP="009865CD">
            <w:pPr>
              <w:rPr>
                <w:color w:val="7030A0"/>
              </w:rPr>
            </w:pPr>
          </w:p>
          <w:p w:rsidR="009865CD" w:rsidRDefault="009865CD" w:rsidP="009865CD">
            <w:pPr>
              <w:rPr>
                <w:color w:val="7030A0"/>
              </w:rPr>
            </w:pPr>
            <w:r w:rsidRPr="009865CD">
              <w:rPr>
                <w:color w:val="7030A0"/>
              </w:rPr>
              <w:t xml:space="preserve">Independent task </w:t>
            </w:r>
            <w:r w:rsidR="00670A02">
              <w:rPr>
                <w:color w:val="7030A0"/>
              </w:rPr>
              <w:t>–</w:t>
            </w:r>
            <w:r w:rsidRPr="009865CD">
              <w:rPr>
                <w:color w:val="7030A0"/>
              </w:rPr>
              <w:t xml:space="preserve"> </w:t>
            </w:r>
            <w:proofErr w:type="spellStart"/>
            <w:r w:rsidR="006E6BBA" w:rsidRPr="009865CD">
              <w:rPr>
                <w:color w:val="7030A0"/>
              </w:rPr>
              <w:t>Headstart</w:t>
            </w:r>
            <w:proofErr w:type="spellEnd"/>
            <w:r w:rsidR="006E6BBA" w:rsidRPr="009865CD">
              <w:rPr>
                <w:color w:val="7030A0"/>
              </w:rPr>
              <w:t xml:space="preserve"> </w:t>
            </w:r>
            <w:proofErr w:type="spellStart"/>
            <w:r w:rsidR="006E6BBA" w:rsidRPr="009865CD">
              <w:rPr>
                <w:color w:val="7030A0"/>
              </w:rPr>
              <w:t>yr</w:t>
            </w:r>
            <w:proofErr w:type="spellEnd"/>
            <w:r w:rsidR="006E6BBA" w:rsidRPr="009865CD">
              <w:rPr>
                <w:color w:val="7030A0"/>
              </w:rPr>
              <w:t xml:space="preserve"> 6 problem solving book p. 118-119</w:t>
            </w:r>
          </w:p>
          <w:p w:rsidR="00670A02" w:rsidRPr="009865CD" w:rsidRDefault="00670A02" w:rsidP="00670A02">
            <w:pPr>
              <w:rPr>
                <w:color w:val="7030A0"/>
              </w:rPr>
            </w:pPr>
            <w:r>
              <w:rPr>
                <w:color w:val="7030A0"/>
              </w:rPr>
              <w:t xml:space="preserve">Extension - </w:t>
            </w:r>
            <w:proofErr w:type="spellStart"/>
            <w:r w:rsidRPr="009865CD">
              <w:rPr>
                <w:color w:val="7030A0"/>
              </w:rPr>
              <w:t>Headstart</w:t>
            </w:r>
            <w:proofErr w:type="spellEnd"/>
            <w:r w:rsidRPr="009865CD">
              <w:rPr>
                <w:color w:val="7030A0"/>
              </w:rPr>
              <w:t xml:space="preserve"> </w:t>
            </w:r>
            <w:proofErr w:type="spellStart"/>
            <w:r w:rsidRPr="009865CD">
              <w:rPr>
                <w:color w:val="7030A0"/>
              </w:rPr>
              <w:t>yr</w:t>
            </w:r>
            <w:proofErr w:type="spellEnd"/>
            <w:r w:rsidRPr="009865CD">
              <w:rPr>
                <w:color w:val="7030A0"/>
              </w:rPr>
              <w:t xml:space="preserve"> 6 p. p. 83-84</w:t>
            </w:r>
          </w:p>
          <w:p w:rsidR="00670A02" w:rsidRPr="009865CD" w:rsidRDefault="00670A02" w:rsidP="009865CD">
            <w:pPr>
              <w:rPr>
                <w:color w:val="7030A0"/>
              </w:rPr>
            </w:pP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EA5F45" w:rsidRPr="00CE17C7" w:rsidRDefault="00EA5F45" w:rsidP="00EA5F45">
            <w:pPr>
              <w:rPr>
                <w:color w:val="00B050"/>
              </w:rPr>
            </w:pPr>
            <w:r>
              <w:rPr>
                <w:color w:val="00B050"/>
              </w:rPr>
              <w:t xml:space="preserve">Watch the video below on ‘calculating ratio’  </w:t>
            </w:r>
          </w:p>
          <w:p w:rsidR="00EA5F45" w:rsidRPr="00EA5F45" w:rsidRDefault="00435586" w:rsidP="00EA5F45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hyperlink r:id="rId13" w:history="1">
              <w:r w:rsidR="00EA5F45" w:rsidRPr="00EA5F45">
                <w:rPr>
                  <w:rStyle w:val="Hyperlink"/>
                  <w:rFonts w:asciiTheme="majorHAnsi" w:hAnsiTheme="majorHAnsi" w:cstheme="majorHAnsi"/>
                </w:rPr>
                <w:t>https://whiterosemaths.com/homelearning/year-6/spring-week-10-number-ratio/</w:t>
              </w:r>
            </w:hyperlink>
          </w:p>
          <w:p w:rsidR="00EA5F45" w:rsidRDefault="00EA5F45" w:rsidP="0056770F"/>
          <w:p w:rsidR="00DA6407" w:rsidRPr="006B1B30" w:rsidRDefault="00DA6407" w:rsidP="00DA640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A6407" w:rsidRPr="006B1B30" w:rsidRDefault="009865CD" w:rsidP="00DA6407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Dividing in a ratio 2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DA6407" w:rsidRPr="00897B4F" w:rsidRDefault="00283409" w:rsidP="00DA6407">
            <w:pPr>
              <w:rPr>
                <w:color w:val="7030A0"/>
              </w:rPr>
            </w:pPr>
            <w:r w:rsidRPr="00897B4F">
              <w:rPr>
                <w:color w:val="7030A0"/>
              </w:rPr>
              <w:t>Lesson five:</w:t>
            </w:r>
          </w:p>
          <w:p w:rsidR="00283409" w:rsidRPr="00897B4F" w:rsidRDefault="00283409" w:rsidP="00DA6407">
            <w:pPr>
              <w:rPr>
                <w:color w:val="7030A0"/>
              </w:rPr>
            </w:pPr>
          </w:p>
          <w:p w:rsidR="00283409" w:rsidRPr="00897B4F" w:rsidRDefault="009D054C" w:rsidP="00DA6407">
            <w:pPr>
              <w:rPr>
                <w:color w:val="7030A0"/>
              </w:rPr>
            </w:pPr>
            <w:r>
              <w:rPr>
                <w:color w:val="7030A0"/>
              </w:rPr>
              <w:t xml:space="preserve">Friday - </w:t>
            </w:r>
            <w:r w:rsidR="00283409" w:rsidRPr="00897B4F">
              <w:rPr>
                <w:color w:val="7030A0"/>
              </w:rPr>
              <w:t>Arithmetic focus</w:t>
            </w:r>
          </w:p>
          <w:p w:rsidR="00283409" w:rsidRPr="00897B4F" w:rsidRDefault="00283409" w:rsidP="00DA6407">
            <w:pPr>
              <w:rPr>
                <w:color w:val="7030A0"/>
              </w:rPr>
            </w:pPr>
          </w:p>
          <w:p w:rsidR="00283409" w:rsidRDefault="00283409" w:rsidP="00DA6407">
            <w:pPr>
              <w:rPr>
                <w:color w:val="7030A0"/>
              </w:rPr>
            </w:pPr>
            <w:r w:rsidRPr="00897B4F">
              <w:rPr>
                <w:color w:val="7030A0"/>
              </w:rPr>
              <w:t>Focus on 4 operations with fractions</w:t>
            </w:r>
            <w:r w:rsidR="00897B4F">
              <w:rPr>
                <w:color w:val="7030A0"/>
              </w:rPr>
              <w:t xml:space="preserve"> (1/2 + ¼ =)</w:t>
            </w:r>
            <w:r w:rsidRPr="00897B4F">
              <w:rPr>
                <w:color w:val="7030A0"/>
              </w:rPr>
              <w:t>, then 4 ops with mixed numbers and fractions</w:t>
            </w:r>
            <w:r w:rsidR="00897B4F">
              <w:rPr>
                <w:color w:val="7030A0"/>
              </w:rPr>
              <w:t xml:space="preserve"> (1 5/6 + ¾ </w:t>
            </w:r>
            <w:proofErr w:type="gramStart"/>
            <w:r w:rsidR="00897B4F">
              <w:rPr>
                <w:color w:val="7030A0"/>
              </w:rPr>
              <w:t>= )</w:t>
            </w:r>
            <w:proofErr w:type="gramEnd"/>
            <w:r w:rsidRPr="00897B4F">
              <w:rPr>
                <w:color w:val="7030A0"/>
              </w:rPr>
              <w:t xml:space="preserve"> and finally fractions and whole numbers</w:t>
            </w:r>
            <w:r w:rsidR="00897B4F">
              <w:rPr>
                <w:color w:val="7030A0"/>
              </w:rPr>
              <w:t xml:space="preserve"> (3/4 x 4 =)</w:t>
            </w:r>
            <w:r w:rsidRPr="00897B4F">
              <w:rPr>
                <w:color w:val="7030A0"/>
              </w:rPr>
              <w:t xml:space="preserve">. </w:t>
            </w:r>
          </w:p>
          <w:p w:rsidR="004E0BA3" w:rsidRPr="00897B4F" w:rsidRDefault="004E0BA3" w:rsidP="00DA6407">
            <w:pPr>
              <w:rPr>
                <w:color w:val="7030A0"/>
              </w:rPr>
            </w:pPr>
            <w:r>
              <w:rPr>
                <w:color w:val="7030A0"/>
              </w:rPr>
              <w:t xml:space="preserve">Get </w:t>
            </w:r>
            <w:proofErr w:type="spellStart"/>
            <w:r>
              <w:rPr>
                <w:color w:val="7030A0"/>
              </w:rPr>
              <w:t>ch</w:t>
            </w:r>
            <w:proofErr w:type="spellEnd"/>
            <w:r>
              <w:rPr>
                <w:color w:val="7030A0"/>
              </w:rPr>
              <w:t xml:space="preserve"> to know the methods for all and quickest methods too (3/4 x 360 – divide by bottom and times top don’t put 360 as a fraction </w:t>
            </w:r>
            <w:proofErr w:type="spellStart"/>
            <w:r>
              <w:rPr>
                <w:color w:val="7030A0"/>
              </w:rPr>
              <w:t>etc</w:t>
            </w:r>
            <w:proofErr w:type="spellEnd"/>
            <w:r>
              <w:rPr>
                <w:color w:val="7030A0"/>
              </w:rPr>
              <w:t xml:space="preserve">). </w:t>
            </w:r>
          </w:p>
          <w:p w:rsidR="00283409" w:rsidRPr="00897B4F" w:rsidRDefault="00897B4F" w:rsidP="00DA6407">
            <w:pPr>
              <w:rPr>
                <w:color w:val="7030A0"/>
              </w:rPr>
            </w:pPr>
            <w:r>
              <w:rPr>
                <w:color w:val="7030A0"/>
              </w:rPr>
              <w:t xml:space="preserve">Independent task – test base fractions with 4 operations. </w:t>
            </w:r>
          </w:p>
          <w:p w:rsidR="00283409" w:rsidRPr="00897B4F" w:rsidRDefault="00283409" w:rsidP="00DA6407">
            <w:pPr>
              <w:rPr>
                <w:color w:val="7030A0"/>
              </w:rPr>
            </w:pPr>
            <w:r w:rsidRPr="00897B4F">
              <w:rPr>
                <w:color w:val="7030A0"/>
              </w:rPr>
              <w:t xml:space="preserve">If you have time long division too. </w:t>
            </w:r>
          </w:p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E1731"/>
    <w:multiLevelType w:val="hybridMultilevel"/>
    <w:tmpl w:val="D462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8"/>
  </w:num>
  <w:num w:numId="5">
    <w:abstractNumId w:val="11"/>
  </w:num>
  <w:num w:numId="6">
    <w:abstractNumId w:val="22"/>
  </w:num>
  <w:num w:numId="7">
    <w:abstractNumId w:val="36"/>
  </w:num>
  <w:num w:numId="8">
    <w:abstractNumId w:val="14"/>
  </w:num>
  <w:num w:numId="9">
    <w:abstractNumId w:val="20"/>
  </w:num>
  <w:num w:numId="10">
    <w:abstractNumId w:val="8"/>
  </w:num>
  <w:num w:numId="11">
    <w:abstractNumId w:val="34"/>
  </w:num>
  <w:num w:numId="12">
    <w:abstractNumId w:val="37"/>
  </w:num>
  <w:num w:numId="13">
    <w:abstractNumId w:val="18"/>
  </w:num>
  <w:num w:numId="14">
    <w:abstractNumId w:val="21"/>
  </w:num>
  <w:num w:numId="15">
    <w:abstractNumId w:val="15"/>
  </w:num>
  <w:num w:numId="16">
    <w:abstractNumId w:val="19"/>
  </w:num>
  <w:num w:numId="17">
    <w:abstractNumId w:val="33"/>
  </w:num>
  <w:num w:numId="18">
    <w:abstractNumId w:val="25"/>
  </w:num>
  <w:num w:numId="19">
    <w:abstractNumId w:val="16"/>
  </w:num>
  <w:num w:numId="20">
    <w:abstractNumId w:val="38"/>
  </w:num>
  <w:num w:numId="21">
    <w:abstractNumId w:val="13"/>
  </w:num>
  <w:num w:numId="22">
    <w:abstractNumId w:val="26"/>
  </w:num>
  <w:num w:numId="23">
    <w:abstractNumId w:val="32"/>
  </w:num>
  <w:num w:numId="24">
    <w:abstractNumId w:val="31"/>
  </w:num>
  <w:num w:numId="25">
    <w:abstractNumId w:val="7"/>
  </w:num>
  <w:num w:numId="26">
    <w:abstractNumId w:val="35"/>
  </w:num>
  <w:num w:numId="27">
    <w:abstractNumId w:val="27"/>
  </w:num>
  <w:num w:numId="28">
    <w:abstractNumId w:val="30"/>
  </w:num>
  <w:num w:numId="29">
    <w:abstractNumId w:val="29"/>
  </w:num>
  <w:num w:numId="30">
    <w:abstractNumId w:val="6"/>
  </w:num>
  <w:num w:numId="31">
    <w:abstractNumId w:val="24"/>
  </w:num>
  <w:num w:numId="32">
    <w:abstractNumId w:val="0"/>
  </w:num>
  <w:num w:numId="33">
    <w:abstractNumId w:val="10"/>
  </w:num>
  <w:num w:numId="34">
    <w:abstractNumId w:val="1"/>
  </w:num>
  <w:num w:numId="35">
    <w:abstractNumId w:val="12"/>
  </w:num>
  <w:num w:numId="36">
    <w:abstractNumId w:val="2"/>
  </w:num>
  <w:num w:numId="37">
    <w:abstractNumId w:val="5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B6996"/>
    <w:rsid w:val="000C161C"/>
    <w:rsid w:val="000E488A"/>
    <w:rsid w:val="000E780A"/>
    <w:rsid w:val="00104AEB"/>
    <w:rsid w:val="00115E1A"/>
    <w:rsid w:val="001363F1"/>
    <w:rsid w:val="00163DC3"/>
    <w:rsid w:val="00184C33"/>
    <w:rsid w:val="00185288"/>
    <w:rsid w:val="001B13CF"/>
    <w:rsid w:val="00220629"/>
    <w:rsid w:val="00265511"/>
    <w:rsid w:val="00283409"/>
    <w:rsid w:val="00296423"/>
    <w:rsid w:val="002B3C1F"/>
    <w:rsid w:val="002B67D3"/>
    <w:rsid w:val="002D5097"/>
    <w:rsid w:val="003104EA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35586"/>
    <w:rsid w:val="00444555"/>
    <w:rsid w:val="00445A4E"/>
    <w:rsid w:val="00480F10"/>
    <w:rsid w:val="00486A0C"/>
    <w:rsid w:val="004E0BA3"/>
    <w:rsid w:val="00500EE7"/>
    <w:rsid w:val="00540C48"/>
    <w:rsid w:val="0054707C"/>
    <w:rsid w:val="005571BC"/>
    <w:rsid w:val="0056770F"/>
    <w:rsid w:val="005D6058"/>
    <w:rsid w:val="00603A32"/>
    <w:rsid w:val="006160EA"/>
    <w:rsid w:val="0066488C"/>
    <w:rsid w:val="00670A02"/>
    <w:rsid w:val="006B1B30"/>
    <w:rsid w:val="006C08FC"/>
    <w:rsid w:val="006D134B"/>
    <w:rsid w:val="006E6BBA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650A"/>
    <w:rsid w:val="00876A76"/>
    <w:rsid w:val="00876EF6"/>
    <w:rsid w:val="00887DDF"/>
    <w:rsid w:val="00897B4F"/>
    <w:rsid w:val="008A23D2"/>
    <w:rsid w:val="008C7DAC"/>
    <w:rsid w:val="008E0D58"/>
    <w:rsid w:val="009230C9"/>
    <w:rsid w:val="00955B4C"/>
    <w:rsid w:val="00965220"/>
    <w:rsid w:val="00971D72"/>
    <w:rsid w:val="009865CD"/>
    <w:rsid w:val="009871F1"/>
    <w:rsid w:val="00997BDB"/>
    <w:rsid w:val="009A3FB0"/>
    <w:rsid w:val="009B15D4"/>
    <w:rsid w:val="009D054C"/>
    <w:rsid w:val="009D40AF"/>
    <w:rsid w:val="00A24895"/>
    <w:rsid w:val="00A37BCD"/>
    <w:rsid w:val="00A65805"/>
    <w:rsid w:val="00A65F53"/>
    <w:rsid w:val="00A779C2"/>
    <w:rsid w:val="00AD68F4"/>
    <w:rsid w:val="00B30EFE"/>
    <w:rsid w:val="00B46C37"/>
    <w:rsid w:val="00B74586"/>
    <w:rsid w:val="00BA0021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70758"/>
    <w:rsid w:val="00C93A2D"/>
    <w:rsid w:val="00CE17C7"/>
    <w:rsid w:val="00CF048B"/>
    <w:rsid w:val="00D01E73"/>
    <w:rsid w:val="00D03BF8"/>
    <w:rsid w:val="00D1508A"/>
    <w:rsid w:val="00D2591D"/>
    <w:rsid w:val="00D44703"/>
    <w:rsid w:val="00D54C06"/>
    <w:rsid w:val="00D6122B"/>
    <w:rsid w:val="00DA534F"/>
    <w:rsid w:val="00DA6407"/>
    <w:rsid w:val="00DA7856"/>
    <w:rsid w:val="00DB2014"/>
    <w:rsid w:val="00DD6ED2"/>
    <w:rsid w:val="00DE614F"/>
    <w:rsid w:val="00DE7CD7"/>
    <w:rsid w:val="00DF04AF"/>
    <w:rsid w:val="00E06CA2"/>
    <w:rsid w:val="00E1088C"/>
    <w:rsid w:val="00E25614"/>
    <w:rsid w:val="00E30AE1"/>
    <w:rsid w:val="00E71037"/>
    <w:rsid w:val="00E801E2"/>
    <w:rsid w:val="00E82D92"/>
    <w:rsid w:val="00E847D2"/>
    <w:rsid w:val="00E95D14"/>
    <w:rsid w:val="00EA5F45"/>
    <w:rsid w:val="00ED690D"/>
    <w:rsid w:val="00F0296A"/>
    <w:rsid w:val="00F14C4D"/>
    <w:rsid w:val="00F26F7A"/>
    <w:rsid w:val="00F3188A"/>
    <w:rsid w:val="00F47679"/>
    <w:rsid w:val="00F768F6"/>
    <w:rsid w:val="00F82A17"/>
    <w:rsid w:val="00FA54DC"/>
    <w:rsid w:val="00FD4B73"/>
    <w:rsid w:val="00FD6201"/>
    <w:rsid w:val="00FE1F9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78FC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10-number-ratio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10-number-ratio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10-number-rati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spring-week-10-number-rati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2018/07/31/proportion-video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Patrick Fitzpatrick</cp:lastModifiedBy>
  <cp:revision>15</cp:revision>
  <cp:lastPrinted>2020-10-21T10:50:00Z</cp:lastPrinted>
  <dcterms:created xsi:type="dcterms:W3CDTF">2021-03-02T08:42:00Z</dcterms:created>
  <dcterms:modified xsi:type="dcterms:W3CDTF">2021-05-07T14:10:00Z</dcterms:modified>
</cp:coreProperties>
</file>