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212B68">
        <w:trPr>
          <w:trHeight w:val="1247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212B68">
        <w:trPr>
          <w:trHeight w:val="907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DF" w:rsidRPr="00927BDF" w:rsidRDefault="00F0296A" w:rsidP="00927BDF">
            <w:pPr>
              <w:pStyle w:val="NoSpacing"/>
            </w:pPr>
            <w:r w:rsidRPr="008E0D58">
              <w:t xml:space="preserve">Main learning objective: To </w:t>
            </w:r>
            <w:r w:rsidR="00927BDF">
              <w:rPr>
                <w:sz w:val="23"/>
                <w:szCs w:val="23"/>
              </w:rPr>
              <w:t>use organisational and presentational devices to structure text and to guide the reader (for example, headings, bullet points).</w:t>
            </w:r>
          </w:p>
          <w:p w:rsidR="00F0296A" w:rsidRDefault="00F0296A" w:rsidP="008E0D58">
            <w:pPr>
              <w:pStyle w:val="NoSpacing"/>
            </w:pPr>
            <w:r w:rsidRPr="008E0D58">
              <w:t xml:space="preserve">Desired outcome: </w:t>
            </w:r>
            <w:r w:rsidR="00E9126B">
              <w:t xml:space="preserve">To </w:t>
            </w:r>
            <w:r w:rsidR="00927BDF">
              <w:t>write</w:t>
            </w:r>
            <w:r w:rsidR="00E9126B">
              <w:t xml:space="preserve"> a</w:t>
            </w:r>
            <w:r w:rsidR="00A65805">
              <w:t xml:space="preserve"> </w:t>
            </w:r>
            <w:r w:rsidR="00F33868">
              <w:t>draft narrative account of Macbeth’s journey to King Duncan’s castle</w:t>
            </w:r>
            <w:r>
              <w:t>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184C33" w:rsidRDefault="00F53355" w:rsidP="006B0D3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Assessment activity</w:t>
            </w:r>
            <w:r w:rsidR="00F0296A" w:rsidRPr="008E0D58">
              <w:rPr>
                <w:color w:val="000000"/>
              </w:rPr>
              <w:t xml:space="preserve"> to by submitted </w:t>
            </w:r>
            <w:r w:rsidR="002401B5">
              <w:rPr>
                <w:b/>
                <w:color w:val="000000"/>
                <w:u w:val="single"/>
              </w:rPr>
              <w:t>by</w:t>
            </w:r>
            <w:r w:rsidRPr="00F53355">
              <w:rPr>
                <w:b/>
                <w:color w:val="000000"/>
                <w:u w:val="single"/>
              </w:rPr>
              <w:t xml:space="preserve"> </w:t>
            </w:r>
            <w:r w:rsidR="006B0D32">
              <w:rPr>
                <w:b/>
                <w:color w:val="000000"/>
                <w:u w:val="single"/>
              </w:rPr>
              <w:t>14</w:t>
            </w:r>
            <w:r w:rsidR="00883151" w:rsidRPr="00883151">
              <w:rPr>
                <w:b/>
                <w:color w:val="000000"/>
                <w:u w:val="single"/>
                <w:vertAlign w:val="superscript"/>
              </w:rPr>
              <w:t>th</w:t>
            </w:r>
            <w:r w:rsidR="00883151">
              <w:rPr>
                <w:b/>
                <w:color w:val="000000"/>
                <w:u w:val="single"/>
              </w:rPr>
              <w:t xml:space="preserve"> May</w:t>
            </w:r>
            <w:r w:rsidR="00132247" w:rsidRPr="00F53355">
              <w:rPr>
                <w:b/>
                <w:color w:val="000000"/>
                <w:u w:val="single"/>
              </w:rPr>
              <w:t>, 2021</w:t>
            </w:r>
            <w:r w:rsidR="00132247">
              <w:rPr>
                <w:color w:val="000000"/>
              </w:rPr>
              <w:t>.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  <w:r w:rsidR="006B0D32">
              <w:rPr>
                <w:highlight w:val="white"/>
              </w:rPr>
              <w:t>writing the middle paragraphs</w:t>
            </w:r>
          </w:p>
          <w:p w:rsidR="006B0D32" w:rsidRPr="001918AE" w:rsidRDefault="006B0D32" w:rsidP="006B0D32">
            <w:pPr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Play a game of long word.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Recap on the TAPE and the three WOW words.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F33868" w:rsidRDefault="006B0D32" w:rsidP="006B0D32">
            <w:pPr>
              <w:pStyle w:val="NoSpacing"/>
            </w:pPr>
            <w:bookmarkStart w:id="0" w:name="_GoBack"/>
            <w:bookmarkEnd w:id="0"/>
            <w:r w:rsidRPr="006B0D32">
              <w:rPr>
                <w:rFonts w:ascii="Cambria" w:hAnsi="Cambria" w:cs="Arial"/>
              </w:rPr>
              <w:t>Watch the video again up to and including the witches’ predictions (3.40).</w:t>
            </w:r>
            <w:r>
              <w:t xml:space="preserve"> </w:t>
            </w:r>
            <w:hyperlink r:id="rId9" w:history="1">
              <w:r w:rsidRPr="00F33868">
                <w:rPr>
                  <w:rStyle w:val="Hyperlink"/>
                  <w:rFonts w:cs="Arial"/>
                </w:rPr>
                <w:t>https://www.youtube.com/watch?v=qfnUq2_0FOY</w:t>
              </w:r>
            </w:hyperlink>
            <w:r w:rsidRPr="00F33868">
              <w:t xml:space="preserve"> </w:t>
            </w: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Recap on the three predictions made by the witches.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Use a freeze frame to discuss the scenario, when the witches appear before Macbeth and Banquo: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numPr>
                <w:ilvl w:val="0"/>
                <w:numId w:val="18"/>
              </w:numPr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How do the witches look, move speak? </w:t>
            </w:r>
          </w:p>
          <w:p w:rsidR="006B0D32" w:rsidRPr="001918AE" w:rsidRDefault="006B0D32" w:rsidP="006B0D32">
            <w:pPr>
              <w:pStyle w:val="NoSpacing"/>
              <w:numPr>
                <w:ilvl w:val="0"/>
                <w:numId w:val="18"/>
              </w:numPr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How do Macbeth and Banquo feel about seeing them? </w:t>
            </w:r>
          </w:p>
          <w:p w:rsidR="006B0D32" w:rsidRPr="001918AE" w:rsidRDefault="006B0D32" w:rsidP="006B0D32">
            <w:pPr>
              <w:pStyle w:val="NoSpacing"/>
              <w:numPr>
                <w:ilvl w:val="0"/>
                <w:numId w:val="18"/>
              </w:numPr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What changes take place to the atmosphere (the weather, the heath, etc.), when the witches appear? 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Share-write a descriptive paragraph, illustrating the scene when the witches appear. 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Children then write their own paragraphs, using vocabulary for precision and figurative language to describe the scene. 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Highlight how dialogue can be incorporated into the narratives to show how Macbeth and Banquo are feeling about the witches’ predictions. 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Children complete their own short paragraphs of dialogue.</w:t>
            </w:r>
          </w:p>
          <w:p w:rsidR="004B22F0" w:rsidRDefault="004B22F0" w:rsidP="0061762C">
            <w:pPr>
              <w:pStyle w:val="NoSpacing"/>
              <w:rPr>
                <w:rFonts w:cs="Arial"/>
                <w:u w:val="single"/>
              </w:rPr>
            </w:pPr>
          </w:p>
          <w:p w:rsidR="00F0296A" w:rsidRPr="0061762C" w:rsidRDefault="00A65F53" w:rsidP="0061762C">
            <w:pPr>
              <w:pStyle w:val="NoSpacing"/>
              <w:rPr>
                <w:rFonts w:cs="Arial"/>
              </w:rPr>
            </w:pPr>
            <w:r w:rsidRPr="0061762C">
              <w:rPr>
                <w:rFonts w:cs="Arial"/>
                <w:u w:val="single"/>
              </w:rPr>
              <w:t>Lesson</w:t>
            </w:r>
            <w:r w:rsidR="00276FAB" w:rsidRPr="0061762C">
              <w:rPr>
                <w:rFonts w:cs="Arial"/>
                <w:u w:val="single"/>
              </w:rPr>
              <w:t xml:space="preserve"> Two</w:t>
            </w:r>
            <w:r w:rsidR="00F0296A" w:rsidRPr="0061762C">
              <w:rPr>
                <w:rFonts w:cs="Arial"/>
              </w:rPr>
              <w:t>:</w:t>
            </w:r>
            <w:r w:rsidR="00224E17" w:rsidRPr="0061762C">
              <w:rPr>
                <w:rFonts w:cs="Arial"/>
              </w:rPr>
              <w:t xml:space="preserve"> </w:t>
            </w:r>
            <w:r w:rsidR="006B0D32">
              <w:t>writing the concluding paragraph</w:t>
            </w: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Play a game of countdown.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rPr>
                <w:rFonts w:ascii="Cambria" w:eastAsiaTheme="minorHAnsi" w:hAnsi="Cambria" w:cs="Arial"/>
                <w:lang w:eastAsia="en-US"/>
              </w:rPr>
            </w:pPr>
            <w:r w:rsidRPr="001918AE">
              <w:rPr>
                <w:rFonts w:ascii="Cambria" w:eastAsiaTheme="minorHAnsi" w:hAnsi="Cambria" w:cs="Arial"/>
                <w:lang w:eastAsia="en-US"/>
              </w:rPr>
              <w:t>Recap on the TAPE grid.</w:t>
            </w:r>
          </w:p>
          <w:p w:rsidR="006B0D32" w:rsidRPr="001918AE" w:rsidRDefault="006B0D32" w:rsidP="006B0D32">
            <w:pPr>
              <w:rPr>
                <w:rFonts w:ascii="Cambria" w:eastAsiaTheme="minorHAnsi" w:hAnsi="Cambria" w:cs="Arial"/>
                <w:lang w:eastAsia="en-US"/>
              </w:rPr>
            </w:pPr>
            <w:r w:rsidRPr="001918AE">
              <w:rPr>
                <w:rFonts w:ascii="Cambria" w:eastAsiaTheme="minorHAnsi" w:hAnsi="Cambria" w:cs="Arial"/>
                <w:lang w:eastAsia="en-US"/>
              </w:rPr>
              <w:t>Discuss the following question: After the witches disappear, what happens next?</w:t>
            </w:r>
          </w:p>
          <w:p w:rsidR="006B0D32" w:rsidRPr="001918AE" w:rsidRDefault="006B0D32" w:rsidP="006B0D32">
            <w:pPr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Clarify that a messenger arrives with the news that King Duncan has made Macbeth the Thane of Cawdor. Macbeth and Banquo can’t believe it: the first prophecy has come true.</w:t>
            </w:r>
          </w:p>
          <w:p w:rsidR="006B0D32" w:rsidRPr="001918AE" w:rsidRDefault="006B0D32" w:rsidP="006B0D32">
            <w:pPr>
              <w:rPr>
                <w:rFonts w:ascii="Cambria" w:hAnsi="Cambria" w:cs="Arial"/>
              </w:rPr>
            </w:pPr>
            <w:r w:rsidRPr="006B0D32">
              <w:rPr>
                <w:rFonts w:ascii="Cambria" w:hAnsi="Cambria" w:cs="Arial"/>
              </w:rPr>
              <w:t>Watch the video up to the point in the story when the messenger giving the news that Macbeth has been made the Thane of Cawdor by King Duncan (4.15)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Thought bubble activity: pairs explore what Macbeth’s thinking about this news…what does he think are the pros and cons of the witches’ prophecies becoming true? Discuss this as a class.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Share write final paragraph, describing the meeting with the messenger and what Macbeth thinks about this. Include some dialogue and encourage the children to finish with a many questions example. 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Children then write their own final paragraphs.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Showcase examples of the children’s final paragraphs.</w:t>
            </w:r>
          </w:p>
          <w:p w:rsidR="00C0780C" w:rsidRPr="00227732" w:rsidRDefault="00C0780C" w:rsidP="00C0780C">
            <w:pPr>
              <w:pStyle w:val="NoSpacing"/>
              <w:rPr>
                <w:rFonts w:cs="Arial"/>
                <w:bCs/>
              </w:rPr>
            </w:pPr>
          </w:p>
          <w:p w:rsidR="00582FA5" w:rsidRPr="00582FA5" w:rsidRDefault="00AD68F4" w:rsidP="00582FA5">
            <w:pPr>
              <w:pStyle w:val="NoSpacing"/>
              <w:rPr>
                <w:rFonts w:ascii="Cambria" w:hAnsi="Cambria" w:cs="Arial"/>
              </w:rPr>
            </w:pPr>
            <w:r>
              <w:rPr>
                <w:rFonts w:cs="Arial"/>
                <w:u w:val="single"/>
              </w:rPr>
              <w:t>Less</w:t>
            </w:r>
            <w:r w:rsidR="00276FAB">
              <w:rPr>
                <w:rFonts w:cs="Arial"/>
                <w:u w:val="single"/>
              </w:rPr>
              <w:t>on Three</w:t>
            </w:r>
            <w:r w:rsidR="00F0296A" w:rsidRPr="007A3C39">
              <w:rPr>
                <w:rFonts w:cs="Arial"/>
              </w:rPr>
              <w:t>:</w:t>
            </w:r>
            <w:r w:rsidR="006167E5">
              <w:rPr>
                <w:rFonts w:cs="Arial"/>
              </w:rPr>
              <w:t xml:space="preserve"> </w:t>
            </w:r>
            <w:r w:rsidR="006B0D32">
              <w:rPr>
                <w:rFonts w:ascii="Cambria" w:hAnsi="Cambria" w:cs="Arial"/>
                <w:bCs/>
              </w:rPr>
              <w:t>proof-reading editing our first drafts</w:t>
            </w: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Recap on the TAPE grid.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Discuss the difference between proof-reading and editing writing.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In pairs, proof-read the model text and identify ten errors.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lastRenderedPageBreak/>
              <w:t>Identify and discuss the errors as a class.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Children proof-read their own work.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Editing activity: improve the sentence. 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  <w:i/>
              </w:rPr>
            </w:pPr>
            <w:r w:rsidRPr="001918AE">
              <w:rPr>
                <w:rFonts w:ascii="Cambria" w:hAnsi="Cambria" w:cs="Arial"/>
                <w:i/>
              </w:rPr>
              <w:t>The heath was smoky. Marie stood in the trench. She held the mask to her face.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Children edit their own work.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>Showcase some examples of proof-reading and editing and how these can be improved further.</w:t>
            </w: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6B0D32">
              <w:rPr>
                <w:rFonts w:ascii="Cambria" w:hAnsi="Cambria" w:cs="Arial"/>
                <w:u w:val="single"/>
              </w:rPr>
              <w:t>Lesson four</w:t>
            </w:r>
            <w:r>
              <w:rPr>
                <w:rFonts w:ascii="Cambria" w:hAnsi="Cambria" w:cs="Arial"/>
              </w:rPr>
              <w:t>:</w:t>
            </w: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1918AE">
              <w:rPr>
                <w:rFonts w:ascii="Cambria" w:hAnsi="Cambria" w:cs="Arial"/>
              </w:rPr>
              <w:t xml:space="preserve">Children write </w:t>
            </w:r>
            <w:r>
              <w:rPr>
                <w:rFonts w:ascii="Cambria" w:hAnsi="Cambria" w:cs="Arial"/>
              </w:rPr>
              <w:t xml:space="preserve">their </w:t>
            </w:r>
            <w:r w:rsidRPr="001918AE">
              <w:rPr>
                <w:rFonts w:ascii="Cambria" w:hAnsi="Cambria" w:cs="Arial"/>
              </w:rPr>
              <w:t>redrafted Macbeth narratives.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4378E0" w:rsidRPr="008374B5" w:rsidRDefault="004378E0" w:rsidP="004378E0">
            <w:pPr>
              <w:pStyle w:val="NoSpacing"/>
              <w:rPr>
                <w:rFonts w:cs="Arial"/>
                <w:bCs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A54"/>
    <w:multiLevelType w:val="hybridMultilevel"/>
    <w:tmpl w:val="3526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C67"/>
    <w:multiLevelType w:val="hybridMultilevel"/>
    <w:tmpl w:val="1AC0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AEC"/>
    <w:multiLevelType w:val="hybridMultilevel"/>
    <w:tmpl w:val="1DAE05A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3CB0"/>
    <w:multiLevelType w:val="hybridMultilevel"/>
    <w:tmpl w:val="ECECB514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02489"/>
    <w:multiLevelType w:val="hybridMultilevel"/>
    <w:tmpl w:val="C40EDC2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210A7"/>
    <w:multiLevelType w:val="hybridMultilevel"/>
    <w:tmpl w:val="2508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51B3"/>
    <w:multiLevelType w:val="hybridMultilevel"/>
    <w:tmpl w:val="B61A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37AD9"/>
    <w:multiLevelType w:val="hybridMultilevel"/>
    <w:tmpl w:val="5936ECF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97020"/>
    <w:multiLevelType w:val="hybridMultilevel"/>
    <w:tmpl w:val="787C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17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771A9"/>
    <w:rsid w:val="000820A8"/>
    <w:rsid w:val="000946CD"/>
    <w:rsid w:val="000B3F5C"/>
    <w:rsid w:val="000D032A"/>
    <w:rsid w:val="000E780A"/>
    <w:rsid w:val="00104AEB"/>
    <w:rsid w:val="00132247"/>
    <w:rsid w:val="001363F1"/>
    <w:rsid w:val="0018329A"/>
    <w:rsid w:val="00184C33"/>
    <w:rsid w:val="001B13CF"/>
    <w:rsid w:val="00212B68"/>
    <w:rsid w:val="00224E17"/>
    <w:rsid w:val="00227732"/>
    <w:rsid w:val="002401B5"/>
    <w:rsid w:val="00255FC5"/>
    <w:rsid w:val="00276FAB"/>
    <w:rsid w:val="00296423"/>
    <w:rsid w:val="002A09CB"/>
    <w:rsid w:val="002B3C1F"/>
    <w:rsid w:val="002C3390"/>
    <w:rsid w:val="002E338E"/>
    <w:rsid w:val="003258D2"/>
    <w:rsid w:val="00342E3B"/>
    <w:rsid w:val="00356A74"/>
    <w:rsid w:val="003A3B45"/>
    <w:rsid w:val="003C06E3"/>
    <w:rsid w:val="003C38AC"/>
    <w:rsid w:val="003E2CDA"/>
    <w:rsid w:val="004378E0"/>
    <w:rsid w:val="00440948"/>
    <w:rsid w:val="00457478"/>
    <w:rsid w:val="00480F10"/>
    <w:rsid w:val="00486A0C"/>
    <w:rsid w:val="004B0A5B"/>
    <w:rsid w:val="004B22F0"/>
    <w:rsid w:val="004C584B"/>
    <w:rsid w:val="00537FAB"/>
    <w:rsid w:val="00540C48"/>
    <w:rsid w:val="0054707C"/>
    <w:rsid w:val="00562DA7"/>
    <w:rsid w:val="00572292"/>
    <w:rsid w:val="0057241A"/>
    <w:rsid w:val="00582FA5"/>
    <w:rsid w:val="00591B91"/>
    <w:rsid w:val="005A0168"/>
    <w:rsid w:val="005A544B"/>
    <w:rsid w:val="005A5720"/>
    <w:rsid w:val="005D6058"/>
    <w:rsid w:val="005D6536"/>
    <w:rsid w:val="005F3283"/>
    <w:rsid w:val="00603A32"/>
    <w:rsid w:val="00607A77"/>
    <w:rsid w:val="006160EA"/>
    <w:rsid w:val="006167E5"/>
    <w:rsid w:val="0061762C"/>
    <w:rsid w:val="00671673"/>
    <w:rsid w:val="006B0D32"/>
    <w:rsid w:val="006C08FC"/>
    <w:rsid w:val="006D3A50"/>
    <w:rsid w:val="006E3E22"/>
    <w:rsid w:val="006E6C4F"/>
    <w:rsid w:val="006F0440"/>
    <w:rsid w:val="007221E1"/>
    <w:rsid w:val="00734D38"/>
    <w:rsid w:val="00735DA2"/>
    <w:rsid w:val="00746B53"/>
    <w:rsid w:val="00753D61"/>
    <w:rsid w:val="007A3C39"/>
    <w:rsid w:val="007C224E"/>
    <w:rsid w:val="007C4598"/>
    <w:rsid w:val="007F5B1B"/>
    <w:rsid w:val="007F696F"/>
    <w:rsid w:val="00811542"/>
    <w:rsid w:val="0082494E"/>
    <w:rsid w:val="00835F6B"/>
    <w:rsid w:val="008374B5"/>
    <w:rsid w:val="0084650A"/>
    <w:rsid w:val="00850C16"/>
    <w:rsid w:val="00883151"/>
    <w:rsid w:val="008A23D2"/>
    <w:rsid w:val="008C7DAC"/>
    <w:rsid w:val="008E0D58"/>
    <w:rsid w:val="008F0135"/>
    <w:rsid w:val="008F4B57"/>
    <w:rsid w:val="008F56D0"/>
    <w:rsid w:val="00927BDF"/>
    <w:rsid w:val="00934DA8"/>
    <w:rsid w:val="00937EDC"/>
    <w:rsid w:val="00941A94"/>
    <w:rsid w:val="00955B4C"/>
    <w:rsid w:val="00965220"/>
    <w:rsid w:val="009871F1"/>
    <w:rsid w:val="009A0D4B"/>
    <w:rsid w:val="009A2482"/>
    <w:rsid w:val="009F7726"/>
    <w:rsid w:val="00A015D6"/>
    <w:rsid w:val="00A24895"/>
    <w:rsid w:val="00A36851"/>
    <w:rsid w:val="00A65805"/>
    <w:rsid w:val="00A65F53"/>
    <w:rsid w:val="00A779C2"/>
    <w:rsid w:val="00A84BFE"/>
    <w:rsid w:val="00AA390B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C4CE8"/>
    <w:rsid w:val="00BD2218"/>
    <w:rsid w:val="00C00D75"/>
    <w:rsid w:val="00C073B7"/>
    <w:rsid w:val="00C0780C"/>
    <w:rsid w:val="00C16F74"/>
    <w:rsid w:val="00C2752F"/>
    <w:rsid w:val="00C47460"/>
    <w:rsid w:val="00C70789"/>
    <w:rsid w:val="00C84E3A"/>
    <w:rsid w:val="00C91925"/>
    <w:rsid w:val="00C93A2D"/>
    <w:rsid w:val="00CA3A4E"/>
    <w:rsid w:val="00CF048B"/>
    <w:rsid w:val="00D1508A"/>
    <w:rsid w:val="00D33BF5"/>
    <w:rsid w:val="00D55127"/>
    <w:rsid w:val="00D57529"/>
    <w:rsid w:val="00DA145F"/>
    <w:rsid w:val="00DA534F"/>
    <w:rsid w:val="00DE7CD7"/>
    <w:rsid w:val="00DF04AF"/>
    <w:rsid w:val="00E24B63"/>
    <w:rsid w:val="00E25614"/>
    <w:rsid w:val="00E7207C"/>
    <w:rsid w:val="00E801E2"/>
    <w:rsid w:val="00E82D92"/>
    <w:rsid w:val="00E847D2"/>
    <w:rsid w:val="00E9126B"/>
    <w:rsid w:val="00E9395A"/>
    <w:rsid w:val="00E95D14"/>
    <w:rsid w:val="00EB36B5"/>
    <w:rsid w:val="00EE36C6"/>
    <w:rsid w:val="00EE7AF3"/>
    <w:rsid w:val="00F0296A"/>
    <w:rsid w:val="00F06E60"/>
    <w:rsid w:val="00F3188A"/>
    <w:rsid w:val="00F33868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CBD1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nUq2_0FO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Patrick Fitzpatrick</cp:lastModifiedBy>
  <cp:revision>5</cp:revision>
  <cp:lastPrinted>2020-10-21T10:50:00Z</cp:lastPrinted>
  <dcterms:created xsi:type="dcterms:W3CDTF">2021-04-30T14:20:00Z</dcterms:created>
  <dcterms:modified xsi:type="dcterms:W3CDTF">2021-05-07T08:32:00Z</dcterms:modified>
</cp:coreProperties>
</file>